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539" w14:textId="3289A048" w:rsidR="000F1535" w:rsidRPr="000F1535" w:rsidRDefault="008D55E6" w:rsidP="000F1535">
      <w:pPr>
        <w:jc w:val="right"/>
        <w:rPr>
          <w:rFonts w:ascii="Segoe UI" w:hAnsi="Segoe UI" w:cs="Segoe UI"/>
          <w:i/>
          <w:sz w:val="20"/>
        </w:rPr>
      </w:pPr>
      <w:bookmarkStart w:id="0" w:name="_Toc386554796"/>
      <w:r>
        <w:rPr>
          <w:rFonts w:ascii="Segoe UI" w:hAnsi="Segoe UI" w:cs="Segoe UI"/>
          <w:i/>
          <w:sz w:val="20"/>
        </w:rPr>
        <w:t xml:space="preserve">Příloha </w:t>
      </w:r>
      <w:r w:rsidRPr="00943E16">
        <w:rPr>
          <w:rFonts w:ascii="Segoe UI" w:hAnsi="Segoe UI" w:cs="Segoe UI"/>
          <w:i/>
          <w:sz w:val="20"/>
        </w:rPr>
        <w:t xml:space="preserve">výzvy </w:t>
      </w:r>
      <w:r w:rsidR="003C42F5">
        <w:rPr>
          <w:rFonts w:ascii="Segoe UI" w:hAnsi="Segoe UI" w:cs="Segoe UI"/>
          <w:i/>
          <w:sz w:val="20"/>
        </w:rPr>
        <w:t>12</w:t>
      </w:r>
      <w:r w:rsidR="000F1535" w:rsidRPr="00943E16">
        <w:rPr>
          <w:rFonts w:ascii="Segoe UI" w:hAnsi="Segoe UI" w:cs="Segoe UI"/>
          <w:i/>
          <w:sz w:val="20"/>
        </w:rPr>
        <w:t>/2021</w:t>
      </w:r>
    </w:p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</w:p>
    <w:p w14:paraId="0D19BC2B" w14:textId="77777777" w:rsidR="00D57E01" w:rsidRDefault="00D57E01" w:rsidP="00D57E01">
      <w:pPr>
        <w:jc w:val="center"/>
        <w:rPr>
          <w:rFonts w:ascii="Segoe UI" w:hAnsi="Segoe UI" w:cs="Segoe UI"/>
          <w:b/>
          <w:i/>
          <w:szCs w:val="28"/>
        </w:rPr>
      </w:pPr>
      <w:r w:rsidRPr="000F1535">
        <w:rPr>
          <w:rFonts w:ascii="Segoe UI" w:hAnsi="Segoe UI" w:cs="Segoe UI"/>
          <w:b/>
          <w:szCs w:val="28"/>
        </w:rPr>
        <w:t xml:space="preserve">Čestné prohlášení žadatele o podporu v režimu </w:t>
      </w:r>
      <w:r w:rsidRPr="000F1535">
        <w:rPr>
          <w:rFonts w:ascii="Segoe UI" w:hAnsi="Segoe UI" w:cs="Segoe UI"/>
          <w:b/>
          <w:i/>
          <w:szCs w:val="28"/>
        </w:rPr>
        <w:t>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F718B4" w:rsidRDefault="00C364F2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jako účetní období používá</w:t>
      </w:r>
    </w:p>
    <w:p w14:paraId="2A409E9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Podniky</w:t>
      </w:r>
      <w:r w:rsidR="005C5A1C" w:rsidRPr="00636EC8">
        <w:rPr>
          <w:rStyle w:val="Znakapoznpodarou"/>
          <w:rFonts w:ascii="Segoe UI" w:hAnsi="Segoe UI" w:cs="Segoe UI"/>
          <w:b/>
          <w:bCs/>
          <w:sz w:val="20"/>
        </w:rPr>
        <w:footnoteReference w:id="1"/>
      </w:r>
      <w:r w:rsidRPr="00F718B4">
        <w:rPr>
          <w:rFonts w:ascii="Segoe UI" w:hAnsi="Segoe UI" w:cs="Segoe UI"/>
          <w:b/>
          <w:sz w:val="22"/>
        </w:rPr>
        <w:t xml:space="preserve"> </w:t>
      </w:r>
      <w:r w:rsidR="00547D86" w:rsidRPr="00F718B4">
        <w:rPr>
          <w:rFonts w:ascii="Segoe UI" w:hAnsi="Segoe UI" w:cs="Segoe UI"/>
          <w:b/>
          <w:sz w:val="22"/>
        </w:rPr>
        <w:t>pro</w:t>
      </w:r>
      <w:r w:rsidRPr="00F718B4">
        <w:rPr>
          <w:rFonts w:ascii="Segoe UI" w:hAnsi="Segoe UI" w:cs="Segoe UI"/>
          <w:b/>
          <w:sz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DC61EA" w14:paraId="559CF345" w14:textId="77777777" w:rsidTr="00D57E01">
        <w:trPr>
          <w:trHeight w:val="3881"/>
        </w:trPr>
        <w:tc>
          <w:tcPr>
            <w:tcW w:w="9438" w:type="dxa"/>
          </w:tcPr>
          <w:p w14:paraId="4726AAF7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5FAD1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2383737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1AB20D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4D175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142E7721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012D8672" w14:textId="77777777" w:rsidR="000F1535" w:rsidRPr="00DC61EA" w:rsidRDefault="000F1535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4A8B77DD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1A4C8CE8" w14:textId="77777777" w:rsidR="005B08D8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5C653E9" w14:textId="77777777" w:rsidR="005B08D8" w:rsidRPr="00DC61EA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0"/>
        <w:gridCol w:w="2210"/>
      </w:tblGrid>
      <w:tr w:rsidR="00D57E01" w:rsidRPr="00DC61EA" w14:paraId="39736CF8" w14:textId="77777777" w:rsidTr="00501D79">
        <w:trPr>
          <w:trHeight w:val="279"/>
        </w:trPr>
        <w:tc>
          <w:tcPr>
            <w:tcW w:w="3510" w:type="dxa"/>
          </w:tcPr>
          <w:p w14:paraId="248DCAE4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lastRenderedPageBreak/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EAD5DF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0BFB0ECC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326362">
        <w:tc>
          <w:tcPr>
            <w:tcW w:w="3510" w:type="dxa"/>
          </w:tcPr>
          <w:p w14:paraId="1C283D2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EBF2A4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16C5E49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326362">
        <w:tc>
          <w:tcPr>
            <w:tcW w:w="3510" w:type="dxa"/>
          </w:tcPr>
          <w:p w14:paraId="370A892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A3CFDB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00DEB0E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326362">
        <w:tc>
          <w:tcPr>
            <w:tcW w:w="3510" w:type="dxa"/>
          </w:tcPr>
          <w:p w14:paraId="3EF66B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E7BF2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40C2FB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326362">
        <w:tc>
          <w:tcPr>
            <w:tcW w:w="3510" w:type="dxa"/>
          </w:tcPr>
          <w:p w14:paraId="78A05188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964D401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6C25FF1B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326362">
        <w:tc>
          <w:tcPr>
            <w:tcW w:w="3510" w:type="dxa"/>
          </w:tcPr>
          <w:p w14:paraId="2CE01D4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CD0629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16247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402E9E5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1F1D75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77D828A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505C98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11921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57E01">
        <w:tc>
          <w:tcPr>
            <w:tcW w:w="3510" w:type="dxa"/>
          </w:tcPr>
          <w:p w14:paraId="482B31F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3C27D2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EB9CA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57E01">
        <w:tc>
          <w:tcPr>
            <w:tcW w:w="3510" w:type="dxa"/>
          </w:tcPr>
          <w:p w14:paraId="04F4271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58B839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4448F4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57E01">
        <w:tc>
          <w:tcPr>
            <w:tcW w:w="3510" w:type="dxa"/>
          </w:tcPr>
          <w:p w14:paraId="03221C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EAD77A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FD4313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57E01">
        <w:tc>
          <w:tcPr>
            <w:tcW w:w="3510" w:type="dxa"/>
          </w:tcPr>
          <w:p w14:paraId="3AE18C9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79DC0C3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09CEA2F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734F841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66248CFC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341824E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2330AD40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732B98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61F1238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4022BEC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AECA55E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90F13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83DF8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57E01">
        <w:trPr>
          <w:trHeight w:val="308"/>
        </w:trPr>
        <w:tc>
          <w:tcPr>
            <w:tcW w:w="3510" w:type="dxa"/>
          </w:tcPr>
          <w:p w14:paraId="0FFE448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898575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75AC1E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E0A499F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4BB745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50F16F07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DC61EA" w14:paraId="4274C200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593D363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C567BB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CD49569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57E01">
        <w:tc>
          <w:tcPr>
            <w:tcW w:w="2093" w:type="dxa"/>
          </w:tcPr>
          <w:p w14:paraId="1443403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30312A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7EFBC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57E01">
        <w:tc>
          <w:tcPr>
            <w:tcW w:w="2093" w:type="dxa"/>
          </w:tcPr>
          <w:p w14:paraId="07CDB76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A0267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49478FF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57E01">
        <w:tc>
          <w:tcPr>
            <w:tcW w:w="2093" w:type="dxa"/>
          </w:tcPr>
          <w:p w14:paraId="0331FA8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F6468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A005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57E01">
        <w:tc>
          <w:tcPr>
            <w:tcW w:w="2093" w:type="dxa"/>
          </w:tcPr>
          <w:p w14:paraId="39754FA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47CF20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85E2A9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09D882D" w14:textId="77777777" w:rsidR="00F718B4" w:rsidRDefault="00F718B4" w:rsidP="00D57E01">
      <w:pPr>
        <w:rPr>
          <w:rFonts w:ascii="Segoe UI" w:hAnsi="Segoe UI" w:cs="Segoe UI"/>
          <w:bCs/>
          <w:sz w:val="20"/>
        </w:rPr>
      </w:pPr>
    </w:p>
    <w:p w14:paraId="467E11A5" w14:textId="77777777" w:rsidR="005B08D8" w:rsidRPr="00DC61EA" w:rsidRDefault="005B08D8" w:rsidP="00D57E01">
      <w:pPr>
        <w:rPr>
          <w:rFonts w:ascii="Segoe UI" w:hAnsi="Segoe UI" w:cs="Segoe UI"/>
          <w:bCs/>
          <w:sz w:val="20"/>
        </w:rPr>
      </w:pPr>
    </w:p>
    <w:p w14:paraId="6D77C4F9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lastRenderedPageBreak/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6CC831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0ECDBBEF" w14:textId="77777777" w:rsidR="005636E2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05AF8A9B" w14:textId="77777777" w:rsidR="000928CB" w:rsidRPr="00F718B4" w:rsidRDefault="000928CB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DD1416">
        <w:rPr>
          <w:rFonts w:ascii="Segoe UI" w:hAnsi="Segoe UI" w:cs="Segoe UI"/>
          <w:b/>
          <w:bCs/>
          <w:sz w:val="20"/>
        </w:rPr>
      </w:r>
      <w:r w:rsidR="00DD141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14:paraId="2ADB132B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5636E2" w:rsidRPr="00DC61EA" w14:paraId="217478CF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317B0F52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9078731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0DA4ACE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8A6EBA">
        <w:tc>
          <w:tcPr>
            <w:tcW w:w="2093" w:type="dxa"/>
          </w:tcPr>
          <w:p w14:paraId="0C4B6AFA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453C120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C24C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8A6EBA">
        <w:tc>
          <w:tcPr>
            <w:tcW w:w="2093" w:type="dxa"/>
          </w:tcPr>
          <w:p w14:paraId="31EE117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15206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180EEF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8A6EBA">
        <w:tc>
          <w:tcPr>
            <w:tcW w:w="2093" w:type="dxa"/>
          </w:tcPr>
          <w:p w14:paraId="1BFE8C4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F57CC0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63AA1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8A6EBA">
        <w:tc>
          <w:tcPr>
            <w:tcW w:w="2093" w:type="dxa"/>
          </w:tcPr>
          <w:p w14:paraId="480B6C8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94FA28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F1C09CF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níže svým podpisem</w:t>
      </w:r>
    </w:p>
    <w:p w14:paraId="6C82BD7E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EAC8E7F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6CE38490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6F616DD6" w14:textId="77777777" w:rsidR="00D57E01" w:rsidRPr="00DC61EA" w:rsidRDefault="00D57E01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</w:p>
    <w:p w14:paraId="07BFAFBE" w14:textId="77777777" w:rsidR="00400DC3" w:rsidRPr="00DC61EA" w:rsidRDefault="00400DC3" w:rsidP="00400DC3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A831E6">
        <w:rPr>
          <w:rFonts w:ascii="Segoe UI" w:hAnsi="Segoe UI" w:cs="Segoe UI"/>
          <w:sz w:val="20"/>
        </w:rPr>
        <w:t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Ministerstvo životního prostředí ČR pro všechny údaje obsažené v tomto prohlášení, a to po celou dobu 10 let ode dne podepsání tohoto prohlášení. Zároveň si je žadatel vědom svých práv dle Obecné</w:t>
      </w:r>
      <w:r>
        <w:rPr>
          <w:rFonts w:ascii="Segoe UI" w:hAnsi="Segoe UI" w:cs="Segoe UI"/>
          <w:sz w:val="20"/>
        </w:rPr>
        <w:t>ho</w:t>
      </w:r>
      <w:r w:rsidRPr="00A831E6">
        <w:rPr>
          <w:rFonts w:ascii="Segoe UI" w:hAnsi="Segoe UI" w:cs="Segoe UI"/>
          <w:sz w:val="20"/>
        </w:rPr>
        <w:t xml:space="preserve"> nařízení o ochraně osobních údajů. Více informací je uvedeno zde: </w:t>
      </w:r>
      <w:hyperlink r:id="rId8" w:history="1">
        <w:r w:rsidRPr="005A667F">
          <w:rPr>
            <w:rStyle w:val="Hypertextovodkaz"/>
            <w:rFonts w:ascii="Segoe UI" w:hAnsi="Segoe UI" w:cs="Segoe UI"/>
            <w:sz w:val="20"/>
          </w:rPr>
          <w:t>https://www.mzp.cz/cz/ochrana_osobnich_udaju</w:t>
        </w:r>
      </w:hyperlink>
      <w:r w:rsidRPr="000217C2">
        <w:rPr>
          <w:rFonts w:ascii="Segoe UI" w:hAnsi="Segoe UI" w:cs="Segoe UI"/>
          <w:sz w:val="20"/>
        </w:rPr>
        <w:t>.</w:t>
      </w:r>
    </w:p>
    <w:p w14:paraId="5FC5CF62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CD49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D78B" w14:textId="77777777" w:rsidR="00DD1416" w:rsidRDefault="00DD1416" w:rsidP="00D57E01">
      <w:r>
        <w:separator/>
      </w:r>
    </w:p>
  </w:endnote>
  <w:endnote w:type="continuationSeparator" w:id="0">
    <w:p w14:paraId="6A1246F5" w14:textId="77777777" w:rsidR="00DD1416" w:rsidRDefault="00DD141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1F41" w14:textId="77777777" w:rsidR="005B08D8" w:rsidRPr="00D47481" w:rsidRDefault="00B52ADD" w:rsidP="005B08D8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2C283" wp14:editId="614D02FD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3" name="Obrázek 67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7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765A">
      <w:rPr>
        <w:rStyle w:val="slostrnky"/>
        <w:b/>
        <w:noProof/>
        <w:color w:val="808080" w:themeColor="background1" w:themeShade="80"/>
        <w:sz w:val="16"/>
      </w:rPr>
      <w:t>2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5B08D8" w:rsidRPr="00D47481">
      <w:rPr>
        <w:rStyle w:val="slostrnky"/>
        <w:b/>
        <w:color w:val="808080" w:themeColor="background1" w:themeShade="80"/>
        <w:sz w:val="16"/>
      </w:rPr>
      <w:t>/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765A">
      <w:rPr>
        <w:rStyle w:val="slostrnky"/>
        <w:b/>
        <w:noProof/>
        <w:color w:val="808080" w:themeColor="background1" w:themeShade="80"/>
        <w:sz w:val="16"/>
      </w:rPr>
      <w:t>3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AEBD" w14:textId="77777777" w:rsidR="00DD1416" w:rsidRDefault="00DD1416" w:rsidP="00D57E01">
      <w:r>
        <w:separator/>
      </w:r>
    </w:p>
  </w:footnote>
  <w:footnote w:type="continuationSeparator" w:id="0">
    <w:p w14:paraId="67394D62" w14:textId="77777777" w:rsidR="00DD1416" w:rsidRDefault="00DD1416" w:rsidP="00D57E01">
      <w:r>
        <w:continuationSeparator/>
      </w:r>
    </w:p>
  </w:footnote>
  <w:footnote w:id="1">
    <w:p w14:paraId="64E941E8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>Za podnik lze považovat podnikatele definovaného v zákoně č. 89/2012 Sb., občanský zákoník</w:t>
      </w:r>
      <w:r w:rsidR="00535D6B" w:rsidRPr="00F718B4">
        <w:rPr>
          <w:rFonts w:ascii="Segoe UI" w:hAnsi="Segoe UI" w:cs="Segoe UI"/>
          <w:sz w:val="18"/>
          <w:szCs w:val="18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>.</w:t>
      </w:r>
    </w:p>
  </w:footnote>
  <w:footnote w:id="3">
    <w:p w14:paraId="7C156461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62 zákona č. 125/2008 Sb., o</w:t>
      </w:r>
      <w:r w:rsidR="001848E4" w:rsidRPr="00F718B4">
        <w:rPr>
          <w:rFonts w:ascii="Segoe UI" w:hAnsi="Segoe UI" w:cs="Segoe UI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61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5">
    <w:p w14:paraId="5C595DB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243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6">
    <w:p w14:paraId="6B6D044D" w14:textId="77777777" w:rsidR="00021B88" w:rsidRDefault="00D57E01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Pokud by na základě převzatých činností nebylo možné dříve poskytnuté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2191" w14:textId="77777777" w:rsidR="005B08D8" w:rsidRPr="005B08D8" w:rsidRDefault="005224DE">
    <w:pPr>
      <w:pStyle w:val="Zhlav"/>
      <w:rPr>
        <w:rFonts w:ascii="Segoe UI" w:hAnsi="Segoe UI" w:cs="Segoe UI"/>
        <w:sz w:val="22"/>
      </w:rPr>
    </w:pPr>
    <w:r w:rsidRPr="00FC453C">
      <w:rPr>
        <w:noProof/>
      </w:rPr>
      <w:drawing>
        <wp:inline distT="0" distB="0" distL="0" distR="0" wp14:anchorId="2C61493B" wp14:editId="2B431754">
          <wp:extent cx="5701030" cy="636270"/>
          <wp:effectExtent l="0" t="0" r="0" b="0"/>
          <wp:docPr id="2" name="Obrázek 66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A1684"/>
    <w:rsid w:val="000D1F7F"/>
    <w:rsid w:val="000F1535"/>
    <w:rsid w:val="000F2A4D"/>
    <w:rsid w:val="00115830"/>
    <w:rsid w:val="00176C4F"/>
    <w:rsid w:val="00181950"/>
    <w:rsid w:val="001848E4"/>
    <w:rsid w:val="001A3E09"/>
    <w:rsid w:val="001B17D5"/>
    <w:rsid w:val="001C237D"/>
    <w:rsid w:val="001D2366"/>
    <w:rsid w:val="001F6606"/>
    <w:rsid w:val="0020562D"/>
    <w:rsid w:val="002069CD"/>
    <w:rsid w:val="00207407"/>
    <w:rsid w:val="00220714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A333F"/>
    <w:rsid w:val="005B08D8"/>
    <w:rsid w:val="005C5A1C"/>
    <w:rsid w:val="005F1AA0"/>
    <w:rsid w:val="005F2CCF"/>
    <w:rsid w:val="005F35DF"/>
    <w:rsid w:val="0060508C"/>
    <w:rsid w:val="00624950"/>
    <w:rsid w:val="00636EC8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52ADD"/>
    <w:rsid w:val="00B53088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DD1416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uiPriority w:val="99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ochrana_osobnich_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61226-3388-4377-8E23-4C8847A5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Eschner Jiří</cp:lastModifiedBy>
  <cp:revision>2</cp:revision>
  <cp:lastPrinted>2017-02-21T08:05:00Z</cp:lastPrinted>
  <dcterms:created xsi:type="dcterms:W3CDTF">2021-12-13T17:47:00Z</dcterms:created>
  <dcterms:modified xsi:type="dcterms:W3CDTF">2021-12-13T17:47:00Z</dcterms:modified>
</cp:coreProperties>
</file>