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E2" w:rsidRPr="00DC61EA" w:rsidRDefault="005636E2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:rsidR="00D57E01" w:rsidRPr="00DC61EA" w:rsidRDefault="00D57E01" w:rsidP="003D1724">
      <w:pPr>
        <w:jc w:val="left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D43099" w:rsidRPr="00DC61EA" w:rsidRDefault="00D43099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C364F2" w:rsidRPr="00DC61EA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2018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>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2020</w:t>
      </w:r>
      <w:r w:rsidR="0008578E" w:rsidRPr="00DC61EA">
        <w:rPr>
          <w:rFonts w:ascii="Segoe UI" w:hAnsi="Segoe UI" w:cs="Segoe UI"/>
          <w:i/>
          <w:sz w:val="20"/>
        </w:rPr>
        <w:t>)</w:t>
      </w:r>
      <w:r w:rsidRPr="00DC61EA">
        <w:rPr>
          <w:rFonts w:ascii="Segoe UI" w:hAnsi="Segoe UI" w:cs="Segoe UI"/>
          <w:sz w:val="20"/>
        </w:rPr>
        <w:t>:</w:t>
      </w: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:rsidR="00D57E01" w:rsidRPr="00DC61EA" w:rsidRDefault="00D57E01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:rsidR="005C5A1C" w:rsidRPr="00DC61EA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 w:rsidR="005C5A1C" w:rsidRPr="00DC61EA"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547D86" w:rsidRPr="00DC61EA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DC61EA" w:rsidTr="00D57E01">
        <w:trPr>
          <w:trHeight w:val="3881"/>
        </w:trPr>
        <w:tc>
          <w:tcPr>
            <w:tcW w:w="9438" w:type="dxa"/>
          </w:tcPr>
          <w:p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:rsidR="005636E2" w:rsidRPr="00DC61EA" w:rsidRDefault="005636E2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DC61EA" w:rsidTr="00501D79">
        <w:trPr>
          <w:trHeight w:val="279"/>
        </w:trPr>
        <w:tc>
          <w:tcPr>
            <w:tcW w:w="3510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:rsidTr="00326362">
        <w:tc>
          <w:tcPr>
            <w:tcW w:w="3510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:rsidR="00326362" w:rsidRPr="00DC61EA" w:rsidRDefault="00326362" w:rsidP="00326362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rPr>
          <w:trHeight w:val="308"/>
        </w:trPr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DC61EA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5636E2" w:rsidRPr="00DC61EA" w:rsidRDefault="005636E2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0928CB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0928CB" w:rsidRPr="00DC61EA" w:rsidRDefault="000928CB" w:rsidP="000928CB">
      <w:pPr>
        <w:pStyle w:val="Odstavecseseznamem"/>
        <w:rPr>
          <w:rFonts w:ascii="Segoe UI" w:hAnsi="Segoe UI" w:cs="Segoe UI"/>
          <w:sz w:val="20"/>
        </w:rPr>
      </w:pP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C2357">
        <w:rPr>
          <w:rFonts w:ascii="Segoe UI" w:hAnsi="Segoe UI" w:cs="Segoe UI"/>
          <w:b/>
          <w:bCs/>
          <w:sz w:val="20"/>
        </w:rPr>
      </w:r>
      <w:r w:rsidR="003C2357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5636E2" w:rsidRPr="00DC61EA" w:rsidTr="008A6EBA">
        <w:trPr>
          <w:trHeight w:val="279"/>
        </w:trPr>
        <w:tc>
          <w:tcPr>
            <w:tcW w:w="2093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0928CB" w:rsidRPr="00DC61EA" w:rsidRDefault="000928CB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:rsidR="00D57E01" w:rsidRPr="00DC61EA" w:rsidRDefault="005F2CCF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</w:t>
      </w:r>
      <w:r w:rsidR="00E51844" w:rsidRPr="00E51844">
        <w:rPr>
          <w:rFonts w:ascii="Segoe UI" w:hAnsi="Segoe UI" w:cs="Segoe UI"/>
          <w:sz w:val="20"/>
        </w:rPr>
        <w:t>110/2019</w:t>
      </w:r>
      <w:r w:rsidR="00E51844">
        <w:t xml:space="preserve"> </w:t>
      </w:r>
      <w:r w:rsidRPr="00DC61EA">
        <w:rPr>
          <w:rFonts w:ascii="Segoe UI" w:hAnsi="Segoe UI" w:cs="Segoe UI"/>
          <w:sz w:val="20"/>
        </w:rPr>
        <w:t>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DC61EA">
        <w:rPr>
          <w:rStyle w:val="Znakapoznpodarou"/>
          <w:rFonts w:ascii="Segoe UI" w:hAnsi="Segoe UI" w:cs="Segoe UI"/>
          <w:sz w:val="20"/>
        </w:rPr>
        <w:footnoteReference w:id="7"/>
      </w:r>
      <w:r w:rsidR="00405599" w:rsidRPr="00DC61EA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 xml:space="preserve">pro všechny údaje obsažené v tomto prohlášení, a to po celou dobu 10 let ode dne udělení souhlasu. Zároveň si je žadatel vědom svých práv podle zákona č. </w:t>
      </w:r>
      <w:r w:rsidR="00E51844" w:rsidRPr="00E51844">
        <w:rPr>
          <w:rFonts w:ascii="Segoe UI" w:hAnsi="Segoe UI" w:cs="Segoe UI"/>
          <w:sz w:val="20"/>
        </w:rPr>
        <w:t xml:space="preserve">110/2019 </w:t>
      </w:r>
      <w:r w:rsidRPr="00DC61EA">
        <w:rPr>
          <w:rFonts w:ascii="Segoe UI" w:hAnsi="Segoe UI" w:cs="Segoe UI"/>
          <w:sz w:val="20"/>
        </w:rPr>
        <w:t>Sb., o ochraně osobních údajů.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FD643F" w:rsidRDefault="00FD643F" w:rsidP="00FD643F">
      <w:pPr>
        <w:rPr>
          <w:rFonts w:ascii="Segoe UI" w:hAnsi="Segoe UI" w:cs="Segoe UI"/>
          <w:sz w:val="20"/>
        </w:rPr>
      </w:pPr>
    </w:p>
    <w:p w:rsidR="00FD643F" w:rsidRPr="00FD643F" w:rsidRDefault="00FD643F" w:rsidP="00FD643F">
      <w:pPr>
        <w:rPr>
          <w:rFonts w:ascii="Segoe UI" w:hAnsi="Segoe UI" w:cs="Segoe UI"/>
          <w:sz w:val="20"/>
        </w:rPr>
      </w:pPr>
    </w:p>
    <w:p w:rsidR="00FD643F" w:rsidRPr="00FD643F" w:rsidRDefault="00FD643F" w:rsidP="00FD643F">
      <w:pPr>
        <w:rPr>
          <w:rFonts w:ascii="Segoe UI" w:hAnsi="Segoe UI" w:cs="Segoe UI"/>
          <w:sz w:val="20"/>
        </w:rPr>
      </w:pPr>
    </w:p>
    <w:p w:rsidR="00D57E01" w:rsidRPr="00FD643F" w:rsidRDefault="00D57E01" w:rsidP="00FD643F">
      <w:pPr>
        <w:rPr>
          <w:rFonts w:ascii="Segoe UI" w:hAnsi="Segoe UI" w:cs="Segoe UI"/>
          <w:sz w:val="20"/>
        </w:rPr>
      </w:pPr>
    </w:p>
    <w:sectPr w:rsidR="00D57E01" w:rsidRPr="00FD643F" w:rsidSect="00702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57" w:rsidRDefault="003C2357" w:rsidP="00D57E01">
      <w:r>
        <w:separator/>
      </w:r>
    </w:p>
  </w:endnote>
  <w:endnote w:type="continuationSeparator" w:id="0">
    <w:p w:rsidR="003C2357" w:rsidRDefault="003C2357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E6" w:rsidRDefault="009F01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376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="009F01E6">
          <w:rPr>
            <w:rFonts w:ascii="Segoe UI" w:hAnsi="Segoe UI" w:cs="Segoe UI"/>
            <w:noProof/>
            <w:sz w:val="20"/>
          </w:rPr>
          <w:t>3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:rsidR="003220A6" w:rsidRDefault="003220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96725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="009F01E6">
          <w:rPr>
            <w:rFonts w:ascii="Segoe UI" w:hAnsi="Segoe UI" w:cs="Segoe UI"/>
            <w:noProof/>
            <w:sz w:val="20"/>
          </w:rPr>
          <w:t>1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57" w:rsidRDefault="003C2357" w:rsidP="00D57E01">
      <w:r>
        <w:separator/>
      </w:r>
    </w:p>
  </w:footnote>
  <w:footnote w:type="continuationSeparator" w:id="0">
    <w:p w:rsidR="003C2357" w:rsidRDefault="003C2357" w:rsidP="00D57E01">
      <w:r>
        <w:continuationSeparator/>
      </w:r>
    </w:p>
  </w:footnote>
  <w:footnote w:id="1">
    <w:p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E6" w:rsidRDefault="009F01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E6" w:rsidRDefault="009F01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82" w:rsidRDefault="00CE2982" w:rsidP="00CE2982">
    <w:pPr>
      <w:pStyle w:val="Zhlav"/>
      <w:rPr>
        <w:noProof/>
      </w:rPr>
    </w:pPr>
    <w:r>
      <w:rPr>
        <w:noProof/>
      </w:rPr>
      <w:drawing>
        <wp:inline distT="0" distB="0" distL="0" distR="0" wp14:anchorId="50EC005B" wp14:editId="08D692DB">
          <wp:extent cx="160020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2ACC8F56" wp14:editId="04A39D6E">
          <wp:extent cx="1657350" cy="5715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</w:p>
  <w:p w:rsidR="00702BF2" w:rsidRPr="003220A6" w:rsidRDefault="003220A6" w:rsidP="00CE2982">
    <w:pPr>
      <w:pStyle w:val="Zhlav"/>
      <w:rPr>
        <w:rFonts w:ascii="Segoe UI" w:hAnsi="Segoe UI" w:cs="Segoe UI"/>
        <w:sz w:val="20"/>
      </w:rPr>
    </w:pPr>
    <w:r>
      <w:tab/>
    </w:r>
    <w:r>
      <w:tab/>
    </w:r>
    <w:r w:rsidR="006033B2">
      <w:rPr>
        <w:rFonts w:ascii="Segoe UI" w:hAnsi="Segoe UI" w:cs="Segoe UI"/>
        <w:sz w:val="20"/>
      </w:rPr>
      <w:t xml:space="preserve">Výzva č. </w:t>
    </w:r>
    <w:r w:rsidR="009F01E6">
      <w:rPr>
        <w:rFonts w:ascii="Segoe UI" w:hAnsi="Segoe UI" w:cs="Segoe UI"/>
        <w:sz w:val="20"/>
      </w:rPr>
      <w:t>15</w:t>
    </w:r>
    <w:bookmarkStart w:id="1" w:name="_GoBack"/>
    <w:bookmarkEnd w:id="1"/>
    <w:r w:rsidR="006033B2">
      <w:rPr>
        <w:rFonts w:ascii="Segoe UI" w:hAnsi="Segoe UI" w:cs="Segoe UI"/>
        <w:sz w:val="20"/>
      </w:rPr>
      <w:t>/2021_Pří</w:t>
    </w:r>
    <w:r w:rsidRPr="003220A6">
      <w:rPr>
        <w:rFonts w:ascii="Segoe UI" w:hAnsi="Segoe UI" w:cs="Segoe UI"/>
        <w:sz w:val="20"/>
      </w:rPr>
      <w:t xml:space="preserve">loha č. </w:t>
    </w:r>
    <w:r w:rsidR="006033B2">
      <w:rPr>
        <w:rFonts w:ascii="Segoe UI" w:hAnsi="Segoe UI" w:cs="Segoe U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C237D"/>
    <w:rsid w:val="001D2366"/>
    <w:rsid w:val="0020562D"/>
    <w:rsid w:val="002069CD"/>
    <w:rsid w:val="00207407"/>
    <w:rsid w:val="00220714"/>
    <w:rsid w:val="00234585"/>
    <w:rsid w:val="00236FFF"/>
    <w:rsid w:val="00247787"/>
    <w:rsid w:val="00254058"/>
    <w:rsid w:val="002A0D11"/>
    <w:rsid w:val="002A4D9E"/>
    <w:rsid w:val="002B73B3"/>
    <w:rsid w:val="002F2A1F"/>
    <w:rsid w:val="003220A6"/>
    <w:rsid w:val="00326362"/>
    <w:rsid w:val="00332F08"/>
    <w:rsid w:val="00387AE1"/>
    <w:rsid w:val="003B1325"/>
    <w:rsid w:val="003B5284"/>
    <w:rsid w:val="003C2357"/>
    <w:rsid w:val="003D1724"/>
    <w:rsid w:val="00405599"/>
    <w:rsid w:val="00427754"/>
    <w:rsid w:val="00437372"/>
    <w:rsid w:val="004460B7"/>
    <w:rsid w:val="004842AF"/>
    <w:rsid w:val="004A230B"/>
    <w:rsid w:val="004A7E25"/>
    <w:rsid w:val="004B463C"/>
    <w:rsid w:val="004B797B"/>
    <w:rsid w:val="004D2713"/>
    <w:rsid w:val="00501D79"/>
    <w:rsid w:val="00516BCB"/>
    <w:rsid w:val="00520ED1"/>
    <w:rsid w:val="00535D6B"/>
    <w:rsid w:val="00547D86"/>
    <w:rsid w:val="005636E2"/>
    <w:rsid w:val="005A333F"/>
    <w:rsid w:val="005C5A1C"/>
    <w:rsid w:val="005F1AA0"/>
    <w:rsid w:val="005F2CCF"/>
    <w:rsid w:val="005F35DF"/>
    <w:rsid w:val="006033B2"/>
    <w:rsid w:val="00624950"/>
    <w:rsid w:val="00677D4C"/>
    <w:rsid w:val="006D1FA3"/>
    <w:rsid w:val="006D5FCE"/>
    <w:rsid w:val="00702BF2"/>
    <w:rsid w:val="00756E25"/>
    <w:rsid w:val="00776E1D"/>
    <w:rsid w:val="007A0778"/>
    <w:rsid w:val="00830DC4"/>
    <w:rsid w:val="00841486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E2B4D"/>
    <w:rsid w:val="008F1532"/>
    <w:rsid w:val="008F7272"/>
    <w:rsid w:val="009004C2"/>
    <w:rsid w:val="00955763"/>
    <w:rsid w:val="00963D5B"/>
    <w:rsid w:val="009661A5"/>
    <w:rsid w:val="00990818"/>
    <w:rsid w:val="009B44E4"/>
    <w:rsid w:val="009E496A"/>
    <w:rsid w:val="009F01E6"/>
    <w:rsid w:val="00A04E58"/>
    <w:rsid w:val="00A322FE"/>
    <w:rsid w:val="00A732BC"/>
    <w:rsid w:val="00A9330E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95951"/>
    <w:rsid w:val="00CA42E4"/>
    <w:rsid w:val="00CE2982"/>
    <w:rsid w:val="00D26F9E"/>
    <w:rsid w:val="00D43099"/>
    <w:rsid w:val="00D50B80"/>
    <w:rsid w:val="00D57E01"/>
    <w:rsid w:val="00D67602"/>
    <w:rsid w:val="00D80C03"/>
    <w:rsid w:val="00D836CD"/>
    <w:rsid w:val="00DC61EA"/>
    <w:rsid w:val="00E51844"/>
    <w:rsid w:val="00E7393D"/>
    <w:rsid w:val="00E80CEF"/>
    <w:rsid w:val="00ED5F3B"/>
    <w:rsid w:val="00EE5517"/>
    <w:rsid w:val="00F264F3"/>
    <w:rsid w:val="00F765AE"/>
    <w:rsid w:val="00F7778B"/>
    <w:rsid w:val="00FC14C4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80AB6C"/>
  <w14:defaultImageDpi w14:val="0"/>
  <w15:docId w15:val="{62909CED-A0E4-4C8B-A9D8-1781435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C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308D-40A5-463F-9012-AD1FC457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Kottová Jana</cp:lastModifiedBy>
  <cp:revision>12</cp:revision>
  <cp:lastPrinted>2017-10-12T07:18:00Z</cp:lastPrinted>
  <dcterms:created xsi:type="dcterms:W3CDTF">2018-03-14T10:29:00Z</dcterms:created>
  <dcterms:modified xsi:type="dcterms:W3CDTF">2021-12-02T13:17:00Z</dcterms:modified>
</cp:coreProperties>
</file>