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21" w:rsidRPr="00E00B71" w:rsidRDefault="00C30C21" w:rsidP="00C30C21">
      <w:pPr>
        <w:jc w:val="center"/>
        <w:rPr>
          <w:rFonts w:ascii="Segoe UI" w:hAnsi="Segoe UI" w:cs="Segoe UI"/>
          <w:b/>
        </w:rPr>
      </w:pPr>
      <w:r w:rsidRPr="00E00B71">
        <w:rPr>
          <w:rFonts w:ascii="Segoe UI" w:hAnsi="Segoe UI" w:cs="Segoe UI"/>
          <w:b/>
        </w:rPr>
        <w:t>Odborný posudek</w:t>
      </w:r>
    </w:p>
    <w:p w:rsidR="00C30C21" w:rsidRPr="00E00B71" w:rsidRDefault="00C30C21" w:rsidP="00C30C21">
      <w:pPr>
        <w:jc w:val="center"/>
        <w:rPr>
          <w:rFonts w:ascii="Segoe UI" w:hAnsi="Segoe UI" w:cs="Segoe UI"/>
          <w:b/>
        </w:rPr>
      </w:pPr>
    </w:p>
    <w:p w:rsidR="00C30C21" w:rsidRPr="000E5203" w:rsidRDefault="00846D34" w:rsidP="000E520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Odborný posudek</w:t>
      </w:r>
      <w:r w:rsidR="00C30C21" w:rsidRPr="000E5203">
        <w:rPr>
          <w:rFonts w:ascii="Segoe UI" w:hAnsi="Segoe UI" w:cs="Segoe UI"/>
          <w:sz w:val="20"/>
          <w:szCs w:val="20"/>
        </w:rPr>
        <w:t xml:space="preserve"> ve smyslu § 4 odst. 3 zákona ČNR č. 388/1991 Sb., resp. čl. 4 odst. 2 Směrnice MŽP </w:t>
      </w:r>
      <w:r w:rsidR="0011788C">
        <w:rPr>
          <w:rFonts w:ascii="Segoe UI" w:hAnsi="Segoe UI" w:cs="Segoe UI"/>
          <w:sz w:val="20"/>
          <w:szCs w:val="20"/>
        </w:rPr>
        <w:t xml:space="preserve">   </w:t>
      </w:r>
      <w:r w:rsidR="00C30C21" w:rsidRPr="000E5203">
        <w:rPr>
          <w:rFonts w:ascii="Segoe UI" w:hAnsi="Segoe UI" w:cs="Segoe UI"/>
          <w:sz w:val="20"/>
          <w:szCs w:val="20"/>
        </w:rPr>
        <w:t>č. 4/2015 k předkládané žádosti o poskytnutí podpory z Národního programu Živ</w:t>
      </w:r>
      <w:r w:rsidR="00BB761C" w:rsidRPr="000E5203">
        <w:rPr>
          <w:rFonts w:ascii="Segoe UI" w:hAnsi="Segoe UI" w:cs="Segoe UI"/>
          <w:sz w:val="20"/>
          <w:szCs w:val="20"/>
        </w:rPr>
        <w:t xml:space="preserve">otní prostředí zpracovaný </w:t>
      </w:r>
      <w:r w:rsidR="00563001" w:rsidRPr="00033D3C">
        <w:rPr>
          <w:rFonts w:ascii="Segoe UI" w:hAnsi="Segoe UI" w:cs="Segoe UI"/>
          <w:sz w:val="20"/>
          <w:szCs w:val="20"/>
        </w:rPr>
        <w:t xml:space="preserve">Odborem </w:t>
      </w:r>
      <w:r w:rsidR="00033D3C" w:rsidRPr="00033D3C">
        <w:rPr>
          <w:rFonts w:ascii="Segoe UI" w:hAnsi="Segoe UI" w:cs="Segoe UI"/>
          <w:color w:val="000000"/>
          <w:sz w:val="20"/>
          <w:szCs w:val="20"/>
        </w:rPr>
        <w:t>adaptace krajiny na klimatickou změnu</w:t>
      </w:r>
      <w:r w:rsidR="00563001" w:rsidRPr="00563001">
        <w:rPr>
          <w:rFonts w:ascii="Segoe UI" w:hAnsi="Segoe UI" w:cs="Segoe UI"/>
          <w:sz w:val="20"/>
          <w:szCs w:val="20"/>
        </w:rPr>
        <w:t xml:space="preserve"> MŽP</w:t>
      </w:r>
      <w:r w:rsidR="00BB761C" w:rsidRPr="000E5203">
        <w:rPr>
          <w:rFonts w:ascii="Segoe UI" w:hAnsi="Segoe UI" w:cs="Segoe UI"/>
          <w:sz w:val="20"/>
          <w:szCs w:val="20"/>
        </w:rPr>
        <w:t>.</w:t>
      </w:r>
    </w:p>
    <w:p w:rsidR="00C30C21" w:rsidRPr="000E5203" w:rsidRDefault="00C30C21" w:rsidP="00C30C21">
      <w:pPr>
        <w:rPr>
          <w:rFonts w:ascii="Segoe UI" w:hAnsi="Segoe UI" w:cs="Segoe UI"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t>Výzva:</w:t>
      </w:r>
      <w:r w:rsidR="00563001">
        <w:rPr>
          <w:rFonts w:ascii="Segoe UI" w:hAnsi="Segoe UI" w:cs="Segoe UI"/>
          <w:sz w:val="20"/>
          <w:szCs w:val="20"/>
        </w:rPr>
        <w:t xml:space="preserve"> </w:t>
      </w:r>
      <w:r w:rsidR="006440CB">
        <w:rPr>
          <w:rFonts w:ascii="Segoe UI" w:hAnsi="Segoe UI" w:cs="Segoe UI"/>
          <w:sz w:val="20"/>
          <w:szCs w:val="20"/>
        </w:rPr>
        <w:t>1</w:t>
      </w:r>
      <w:r w:rsidR="001B239B">
        <w:rPr>
          <w:rFonts w:ascii="Segoe UI" w:hAnsi="Segoe UI" w:cs="Segoe UI"/>
          <w:sz w:val="20"/>
          <w:szCs w:val="20"/>
        </w:rPr>
        <w:t>/2022</w:t>
      </w:r>
    </w:p>
    <w:p w:rsidR="00D26042" w:rsidRPr="000E5203" w:rsidRDefault="00C30C21" w:rsidP="00C30C21">
      <w:pPr>
        <w:rPr>
          <w:rFonts w:ascii="Segoe UI" w:hAnsi="Segoe UI" w:cs="Segoe UI"/>
          <w:b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t>P</w:t>
      </w:r>
      <w:r w:rsidR="00D26042" w:rsidRPr="000E5203">
        <w:rPr>
          <w:rFonts w:ascii="Segoe UI" w:hAnsi="Segoe UI" w:cs="Segoe UI"/>
          <w:b/>
          <w:sz w:val="20"/>
          <w:szCs w:val="20"/>
        </w:rPr>
        <w:t xml:space="preserve">rioritní oblast: </w:t>
      </w:r>
      <w:r w:rsidR="00A10115" w:rsidRPr="000E5203">
        <w:rPr>
          <w:rFonts w:ascii="Segoe UI" w:hAnsi="Segoe UI" w:cs="Segoe UI"/>
          <w:sz w:val="20"/>
          <w:szCs w:val="20"/>
        </w:rPr>
        <w:t>5. Životní prostředí ve městech a obcích</w:t>
      </w:r>
    </w:p>
    <w:p w:rsidR="00C30C21" w:rsidRPr="000E5203" w:rsidRDefault="00D26042" w:rsidP="00C30C21">
      <w:pPr>
        <w:rPr>
          <w:rFonts w:ascii="Segoe UI" w:hAnsi="Segoe UI" w:cs="Segoe UI"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t>P</w:t>
      </w:r>
      <w:r w:rsidR="00C30C21" w:rsidRPr="000E5203">
        <w:rPr>
          <w:rFonts w:ascii="Segoe UI" w:hAnsi="Segoe UI" w:cs="Segoe UI"/>
          <w:b/>
          <w:sz w:val="20"/>
          <w:szCs w:val="20"/>
        </w:rPr>
        <w:t>odoblast:</w:t>
      </w:r>
      <w:r w:rsidRPr="000E5203">
        <w:rPr>
          <w:rFonts w:ascii="Segoe UI" w:hAnsi="Segoe UI" w:cs="Segoe UI"/>
          <w:sz w:val="20"/>
          <w:szCs w:val="20"/>
        </w:rPr>
        <w:t xml:space="preserve"> </w:t>
      </w:r>
      <w:r w:rsidR="00A10115" w:rsidRPr="000E5203">
        <w:rPr>
          <w:rFonts w:ascii="Segoe UI" w:hAnsi="Segoe UI" w:cs="Segoe UI"/>
          <w:sz w:val="20"/>
          <w:szCs w:val="20"/>
        </w:rPr>
        <w:t>5.4 Zlepšení funkčního stavu zeleně ve městech a obcích</w:t>
      </w:r>
    </w:p>
    <w:p w:rsidR="00D26042" w:rsidRPr="000E5203" w:rsidRDefault="00C30C21" w:rsidP="00A10115">
      <w:pPr>
        <w:rPr>
          <w:rFonts w:ascii="Segoe UI" w:hAnsi="Segoe UI" w:cs="Segoe UI"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t>Podporovaná aktivita:</w:t>
      </w:r>
      <w:r w:rsidR="00A10115" w:rsidRPr="000E5203">
        <w:rPr>
          <w:rFonts w:ascii="Segoe UI" w:hAnsi="Segoe UI" w:cs="Segoe UI"/>
          <w:sz w:val="20"/>
          <w:szCs w:val="20"/>
        </w:rPr>
        <w:t xml:space="preserve"> 5.4.</w:t>
      </w:r>
      <w:r w:rsidR="003B31B6">
        <w:rPr>
          <w:rFonts w:ascii="Segoe UI" w:hAnsi="Segoe UI" w:cs="Segoe UI"/>
          <w:sz w:val="20"/>
          <w:szCs w:val="20"/>
        </w:rPr>
        <w:t>B</w:t>
      </w:r>
      <w:r w:rsidR="00A10115" w:rsidRPr="000E5203">
        <w:rPr>
          <w:rFonts w:ascii="Segoe UI" w:hAnsi="Segoe UI" w:cs="Segoe UI"/>
          <w:sz w:val="20"/>
          <w:szCs w:val="20"/>
        </w:rPr>
        <w:t xml:space="preserve"> – Pozitivní motivace obcí v soutěžích</w:t>
      </w:r>
    </w:p>
    <w:p w:rsid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Obecné údaje</w:t>
      </w:r>
    </w:p>
    <w:p w:rsidR="005261CF" w:rsidRPr="005261CF" w:rsidRDefault="005261CF" w:rsidP="005261CF">
      <w:pPr>
        <w:pStyle w:val="Zkladntext"/>
        <w:spacing w:after="120" w:line="288" w:lineRule="auto"/>
        <w:ind w:left="66" w:firstLine="0"/>
        <w:rPr>
          <w:rFonts w:ascii="Segoe UI" w:hAnsi="Segoe UI" w:cs="Segoe UI"/>
          <w:sz w:val="20"/>
        </w:rPr>
      </w:pPr>
      <w:bookmarkStart w:id="0" w:name="_GoBack"/>
      <w:bookmarkEnd w:id="0"/>
    </w:p>
    <w:p w:rsid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Adresát a účel posudku</w:t>
      </w:r>
    </w:p>
    <w:p w:rsidR="005261CF" w:rsidRPr="005261CF" w:rsidRDefault="005261CF" w:rsidP="005261CF">
      <w:pPr>
        <w:pStyle w:val="Zkladntext"/>
        <w:spacing w:after="120" w:line="288" w:lineRule="auto"/>
        <w:ind w:firstLine="0"/>
        <w:rPr>
          <w:rFonts w:ascii="Segoe UI" w:hAnsi="Segoe UI" w:cs="Segoe UI"/>
          <w:sz w:val="20"/>
        </w:rPr>
      </w:pPr>
    </w:p>
    <w:p w:rsid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Základní charakteristika stavby, opatření (dále opatření), výdaje na realizaci, období realizace, požadavek na Fond</w:t>
      </w:r>
    </w:p>
    <w:p w:rsidR="005261CF" w:rsidRPr="005261CF" w:rsidRDefault="005261CF" w:rsidP="005261CF">
      <w:pPr>
        <w:pStyle w:val="Zkladntext"/>
        <w:spacing w:after="120" w:line="288" w:lineRule="auto"/>
        <w:ind w:firstLine="0"/>
        <w:rPr>
          <w:rFonts w:ascii="Segoe UI" w:hAnsi="Segoe UI" w:cs="Segoe UI"/>
          <w:sz w:val="20"/>
        </w:rPr>
      </w:pPr>
    </w:p>
    <w:p w:rsid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Posouzení potřebnosti opatření a účelnosti navrženého řešení z hlediska ochrany životního prostředí, posouzení možnosti aplikace nejlepších dostupných technik a postupů a jejich preference vůči klasickým řešením a posouzení výše výdajů na realizaci opatření</w:t>
      </w:r>
    </w:p>
    <w:p w:rsidR="005261CF" w:rsidRDefault="001814E7" w:rsidP="001814E7">
      <w:pPr>
        <w:pStyle w:val="Odstavecseseznamem"/>
        <w:numPr>
          <w:ilvl w:val="0"/>
          <w:numId w:val="2"/>
        </w:numPr>
        <w:ind w:left="1134" w:hanging="35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Dojde-li v rámci realizace projektu k</w:t>
      </w:r>
      <w:r w:rsidRPr="001814E7">
        <w:rPr>
          <w:rFonts w:ascii="Segoe UI" w:hAnsi="Segoe UI" w:cs="Segoe UI"/>
          <w:sz w:val="20"/>
          <w:szCs w:val="20"/>
        </w:rPr>
        <w:t xml:space="preserve"> demolicí</w:t>
      </w:r>
      <w:r>
        <w:rPr>
          <w:rFonts w:ascii="Segoe UI" w:hAnsi="Segoe UI" w:cs="Segoe UI"/>
          <w:sz w:val="20"/>
          <w:szCs w:val="20"/>
        </w:rPr>
        <w:t>m</w:t>
      </w:r>
      <w:r w:rsidRPr="001814E7">
        <w:rPr>
          <w:rFonts w:ascii="Segoe UI" w:hAnsi="Segoe UI" w:cs="Segoe UI"/>
          <w:sz w:val="20"/>
          <w:szCs w:val="20"/>
        </w:rPr>
        <w:t xml:space="preserve"> stávajících funkčně a esteticky závadných zařízení</w:t>
      </w:r>
      <w:r>
        <w:rPr>
          <w:rFonts w:ascii="Segoe UI" w:hAnsi="Segoe UI" w:cs="Segoe UI"/>
          <w:sz w:val="20"/>
          <w:szCs w:val="20"/>
        </w:rPr>
        <w:t xml:space="preserve"> musí být posouzeno</w:t>
      </w:r>
      <w:r w:rsidRPr="001814E7">
        <w:rPr>
          <w:rFonts w:ascii="Segoe UI" w:hAnsi="Segoe UI" w:cs="Segoe UI"/>
          <w:sz w:val="20"/>
          <w:szCs w:val="20"/>
        </w:rPr>
        <w:t xml:space="preserve"> reálné popř. potenciální riziko kontaminace horninového prostředí, povrchových či podzemních vod, je nutné, aby součástí projektové dokumentace bylo odborné stanovisko věcně příslušného odboru Ministerstva životního prostředí ČR</w:t>
      </w:r>
      <w:r>
        <w:rPr>
          <w:rFonts w:ascii="Segoe UI" w:hAnsi="Segoe UI" w:cs="Segoe UI"/>
          <w:sz w:val="20"/>
          <w:szCs w:val="20"/>
        </w:rPr>
        <w:t>.</w:t>
      </w:r>
    </w:p>
    <w:p w:rsidR="007A1609" w:rsidRPr="007A1609" w:rsidRDefault="007A1609" w:rsidP="007A1609">
      <w:pPr>
        <w:jc w:val="both"/>
        <w:rPr>
          <w:rFonts w:ascii="Segoe UI" w:hAnsi="Segoe UI" w:cs="Segoe UI"/>
          <w:sz w:val="20"/>
          <w:szCs w:val="20"/>
        </w:rPr>
      </w:pPr>
    </w:p>
    <w:p w:rsid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Posouzení, zda opatření navržená opatření budou prováděna v souladu s daným venkovským prostředím a realizace opatření a projektů vedou ke zlepšení celkového stavu veřejných prostranství, přírodních prvků a zeleně v obci tak, aby byl zachován, či obnoven celkový ráz venkova</w:t>
      </w:r>
    </w:p>
    <w:p w:rsidR="005261CF" w:rsidRPr="005261CF" w:rsidRDefault="005261CF" w:rsidP="005261CF">
      <w:pPr>
        <w:pStyle w:val="Zkladntext"/>
        <w:spacing w:after="120" w:line="288" w:lineRule="auto"/>
        <w:ind w:firstLine="0"/>
        <w:rPr>
          <w:rFonts w:ascii="Segoe UI" w:hAnsi="Segoe UI" w:cs="Segoe UI"/>
          <w:sz w:val="20"/>
        </w:rPr>
      </w:pPr>
    </w:p>
    <w:p w:rsidR="005261CF" w:rsidRPr="005261CF" w:rsidRDefault="005261CF" w:rsidP="005261CF">
      <w:pPr>
        <w:pStyle w:val="Zkladntext"/>
        <w:numPr>
          <w:ilvl w:val="0"/>
          <w:numId w:val="1"/>
        </w:numPr>
        <w:spacing w:after="120" w:line="288" w:lineRule="auto"/>
        <w:ind w:left="426"/>
        <w:rPr>
          <w:rFonts w:ascii="Segoe UI" w:hAnsi="Segoe UI" w:cs="Segoe UI"/>
          <w:i/>
          <w:sz w:val="20"/>
        </w:rPr>
      </w:pPr>
      <w:r w:rsidRPr="005261CF">
        <w:rPr>
          <w:rFonts w:ascii="Segoe UI" w:hAnsi="Segoe UI" w:cs="Segoe UI"/>
          <w:i/>
          <w:sz w:val="20"/>
        </w:rPr>
        <w:t>Vyhodnocení jednotlivých variant v případě variantního řešení.</w:t>
      </w:r>
    </w:p>
    <w:p w:rsidR="00E00B71" w:rsidRPr="005261CF" w:rsidRDefault="00E00B71" w:rsidP="005261CF">
      <w:pPr>
        <w:rPr>
          <w:rFonts w:ascii="Segoe UI" w:hAnsi="Segoe UI" w:cs="Segoe UI"/>
          <w:sz w:val="20"/>
          <w:szCs w:val="20"/>
        </w:rPr>
      </w:pPr>
    </w:p>
    <w:p w:rsidR="00E00B71" w:rsidRPr="000E5203" w:rsidRDefault="00E00B71" w:rsidP="00C30C21">
      <w:pPr>
        <w:rPr>
          <w:rFonts w:ascii="Segoe UI" w:hAnsi="Segoe UI" w:cs="Segoe UI"/>
          <w:b/>
          <w:sz w:val="20"/>
          <w:szCs w:val="20"/>
        </w:rPr>
      </w:pPr>
    </w:p>
    <w:p w:rsidR="00C30C21" w:rsidRPr="000E5203" w:rsidRDefault="00C30C21" w:rsidP="00C30C21">
      <w:pPr>
        <w:rPr>
          <w:rFonts w:ascii="Segoe UI" w:hAnsi="Segoe UI" w:cs="Segoe UI"/>
          <w:b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lastRenderedPageBreak/>
        <w:t>Datum vypracování posudku:</w:t>
      </w:r>
    </w:p>
    <w:p w:rsidR="00C30C21" w:rsidRPr="000E5203" w:rsidRDefault="00C30C21" w:rsidP="00C30C21">
      <w:pPr>
        <w:rPr>
          <w:rFonts w:ascii="Segoe UI" w:hAnsi="Segoe UI" w:cs="Segoe UI"/>
          <w:b/>
          <w:sz w:val="20"/>
          <w:szCs w:val="20"/>
        </w:rPr>
      </w:pPr>
    </w:p>
    <w:p w:rsidR="00C30C21" w:rsidRPr="000E5203" w:rsidRDefault="00C30C21" w:rsidP="00C30C21">
      <w:pPr>
        <w:rPr>
          <w:rFonts w:ascii="Segoe UI" w:hAnsi="Segoe UI" w:cs="Segoe UI"/>
          <w:b/>
          <w:sz w:val="20"/>
          <w:szCs w:val="20"/>
        </w:rPr>
      </w:pPr>
      <w:r w:rsidRPr="000E5203">
        <w:rPr>
          <w:rFonts w:ascii="Segoe UI" w:hAnsi="Segoe UI" w:cs="Segoe UI"/>
          <w:b/>
          <w:sz w:val="20"/>
          <w:szCs w:val="20"/>
        </w:rPr>
        <w:t>Autor posudku:</w:t>
      </w:r>
    </w:p>
    <w:sectPr w:rsidR="00C30C21" w:rsidRPr="000E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4A" w:rsidRDefault="00070F4A" w:rsidP="00C30C21">
      <w:pPr>
        <w:spacing w:after="0" w:line="240" w:lineRule="auto"/>
      </w:pPr>
      <w:r>
        <w:separator/>
      </w:r>
    </w:p>
  </w:endnote>
  <w:endnote w:type="continuationSeparator" w:id="0">
    <w:p w:rsidR="00070F4A" w:rsidRDefault="00070F4A" w:rsidP="00C3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CB" w:rsidRDefault="006440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30" w:rsidRDefault="00070F4A">
    <w:pPr>
      <w:pStyle w:val="Zpat"/>
    </w:pPr>
    <w:r w:rsidRPr="00070F4A">
      <w:rPr>
        <w:rFonts w:ascii="Segoe UI" w:hAnsi="Segoe UI" w:cs="Segoe UI"/>
        <w:noProof/>
        <w:sz w:val="16"/>
        <w:szCs w:val="16"/>
        <w:lang w:eastAsia="cs-CZ"/>
      </w:rPr>
      <w:drawing>
        <wp:inline distT="0" distB="0" distL="0" distR="0">
          <wp:extent cx="5715000" cy="390525"/>
          <wp:effectExtent l="0" t="0" r="0" b="0"/>
          <wp:docPr id="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2BF7" w:rsidRDefault="003C2BF7" w:rsidP="003C2BF7">
    <w:pPr>
      <w:pStyle w:val="Zpat"/>
      <w:rPr>
        <w:rFonts w:ascii="Segoe UI" w:hAnsi="Segoe UI" w:cs="Segoe UI"/>
        <w:sz w:val="18"/>
        <w:szCs w:val="18"/>
      </w:rPr>
    </w:pPr>
  </w:p>
  <w:p w:rsidR="003C2BF7" w:rsidRPr="00DC40EB" w:rsidRDefault="001B239B" w:rsidP="003C2BF7">
    <w:pPr>
      <w:pStyle w:val="Zpa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Příloha č. 1</w:t>
    </w:r>
    <w:r w:rsidR="00356415">
      <w:rPr>
        <w:rFonts w:ascii="Segoe UI" w:hAnsi="Segoe UI" w:cs="Segoe UI"/>
        <w:sz w:val="18"/>
        <w:szCs w:val="18"/>
      </w:rPr>
      <w:t xml:space="preserve"> v</w:t>
    </w:r>
    <w:r w:rsidR="003C2BF7" w:rsidRPr="00DC40EB">
      <w:rPr>
        <w:rFonts w:ascii="Segoe UI" w:hAnsi="Segoe UI" w:cs="Segoe UI"/>
        <w:sz w:val="18"/>
        <w:szCs w:val="18"/>
      </w:rPr>
      <w:t xml:space="preserve">ýzvy č. </w:t>
    </w:r>
    <w:r w:rsidR="006440CB">
      <w:rPr>
        <w:rFonts w:ascii="Segoe UI" w:hAnsi="Segoe UI" w:cs="Segoe UI"/>
        <w:sz w:val="18"/>
        <w:szCs w:val="18"/>
      </w:rPr>
      <w:t>1</w:t>
    </w:r>
    <w:r>
      <w:rPr>
        <w:rFonts w:ascii="Segoe UI" w:hAnsi="Segoe UI" w:cs="Segoe UI"/>
        <w:sz w:val="18"/>
        <w:szCs w:val="18"/>
      </w:rPr>
      <w:t>/2022</w:t>
    </w:r>
  </w:p>
  <w:p w:rsidR="00C30C21" w:rsidRDefault="00C30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CB" w:rsidRDefault="006440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4A" w:rsidRDefault="00070F4A" w:rsidP="00C30C21">
      <w:pPr>
        <w:spacing w:after="0" w:line="240" w:lineRule="auto"/>
      </w:pPr>
      <w:r>
        <w:separator/>
      </w:r>
    </w:p>
  </w:footnote>
  <w:footnote w:type="continuationSeparator" w:id="0">
    <w:p w:rsidR="00070F4A" w:rsidRDefault="00070F4A" w:rsidP="00C3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CB" w:rsidRDefault="006440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37" w:rsidRDefault="00070F4A" w:rsidP="00501B37">
    <w:pPr>
      <w:pStyle w:val="Zhlav"/>
      <w:rPr>
        <w:noProof/>
      </w:rPr>
    </w:pPr>
    <w:r w:rsidRPr="007719BB">
      <w:rPr>
        <w:noProof/>
        <w:lang w:eastAsia="cs-CZ"/>
      </w:rPr>
      <w:drawing>
        <wp:inline distT="0" distB="0" distL="0" distR="0">
          <wp:extent cx="1581150" cy="571500"/>
          <wp:effectExtent l="0" t="0" r="0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B37">
      <w:rPr>
        <w:noProof/>
      </w:rPr>
      <w:t xml:space="preserve">                                                            </w:t>
    </w:r>
    <w:r w:rsidRPr="007719BB">
      <w:rPr>
        <w:noProof/>
        <w:lang w:eastAsia="cs-CZ"/>
      </w:rPr>
      <w:drawing>
        <wp:inline distT="0" distB="0" distL="0" distR="0">
          <wp:extent cx="1581150" cy="571500"/>
          <wp:effectExtent l="0" t="0" r="0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B37">
      <w:rPr>
        <w:noProof/>
      </w:rPr>
      <w:t xml:space="preserve">                                        </w:t>
    </w:r>
  </w:p>
  <w:p w:rsidR="00C30C21" w:rsidRDefault="00C30C21">
    <w:pPr>
      <w:pStyle w:val="Zhlav"/>
    </w:pPr>
  </w:p>
  <w:p w:rsidR="00C30C21" w:rsidRDefault="00C3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0CB" w:rsidRDefault="00644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C71"/>
    <w:multiLevelType w:val="hybridMultilevel"/>
    <w:tmpl w:val="E1484414"/>
    <w:lvl w:ilvl="0" w:tplc="F2A2F31A">
      <w:start w:val="4"/>
      <w:numFmt w:val="bullet"/>
      <w:lvlText w:val="-"/>
      <w:lvlJc w:val="left"/>
      <w:pPr>
        <w:ind w:left="426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487A2DEF"/>
    <w:multiLevelType w:val="hybridMultilevel"/>
    <w:tmpl w:val="04C20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21"/>
    <w:rsid w:val="000241E9"/>
    <w:rsid w:val="0002484B"/>
    <w:rsid w:val="00033D3C"/>
    <w:rsid w:val="00070F4A"/>
    <w:rsid w:val="000A4297"/>
    <w:rsid w:val="000E5203"/>
    <w:rsid w:val="0011788C"/>
    <w:rsid w:val="001814E7"/>
    <w:rsid w:val="001B239B"/>
    <w:rsid w:val="003012FA"/>
    <w:rsid w:val="00356415"/>
    <w:rsid w:val="00383948"/>
    <w:rsid w:val="003B31B6"/>
    <w:rsid w:val="003C2BF7"/>
    <w:rsid w:val="00400930"/>
    <w:rsid w:val="00501B37"/>
    <w:rsid w:val="005261CF"/>
    <w:rsid w:val="00563001"/>
    <w:rsid w:val="006440CB"/>
    <w:rsid w:val="00663D8C"/>
    <w:rsid w:val="006974CE"/>
    <w:rsid w:val="006A17C7"/>
    <w:rsid w:val="00720D73"/>
    <w:rsid w:val="007719BB"/>
    <w:rsid w:val="007A1609"/>
    <w:rsid w:val="00805933"/>
    <w:rsid w:val="00846D34"/>
    <w:rsid w:val="0089081F"/>
    <w:rsid w:val="00964827"/>
    <w:rsid w:val="00A056DA"/>
    <w:rsid w:val="00A10115"/>
    <w:rsid w:val="00B64974"/>
    <w:rsid w:val="00BB761C"/>
    <w:rsid w:val="00C30C21"/>
    <w:rsid w:val="00D26042"/>
    <w:rsid w:val="00D504AC"/>
    <w:rsid w:val="00DC40EB"/>
    <w:rsid w:val="00DF65FA"/>
    <w:rsid w:val="00E00B71"/>
    <w:rsid w:val="00E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31163"/>
  <w14:defaultImageDpi w14:val="0"/>
  <w15:docId w15:val="{F95E75A9-242B-4A9E-A8D9-542E65F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0C2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3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30C21"/>
    <w:rPr>
      <w:rFonts w:cs="Times New Roman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5261CF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5261CF"/>
    <w:rPr>
      <w:rFonts w:ascii="Arial" w:hAnsi="Arial" w:cs="Arial"/>
      <w:color w:val="000000"/>
      <w:sz w:val="18"/>
      <w:szCs w:val="18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5261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Blahusova Anita</dc:creator>
  <cp:keywords/>
  <dc:description/>
  <cp:lastModifiedBy>320</cp:lastModifiedBy>
  <cp:revision>5</cp:revision>
  <dcterms:created xsi:type="dcterms:W3CDTF">2022-02-07T13:18:00Z</dcterms:created>
  <dcterms:modified xsi:type="dcterms:W3CDTF">2022-02-24T10:30:00Z</dcterms:modified>
</cp:coreProperties>
</file>