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BD6B7" w14:textId="4CA2811F" w:rsidR="000671F3" w:rsidRDefault="000671F3" w:rsidP="000671F3">
      <w:pPr>
        <w:spacing w:after="600" w:line="264" w:lineRule="auto"/>
        <w:rPr>
          <w:rFonts w:ascii="Segoe UI" w:hAnsi="Segoe UI" w:cs="Segoe UI"/>
          <w:b/>
          <w:bCs/>
          <w:sz w:val="20"/>
          <w:szCs w:val="20"/>
        </w:rPr>
      </w:pPr>
      <w:r w:rsidRPr="000671F3">
        <w:rPr>
          <w:rFonts w:ascii="Segoe UI" w:hAnsi="Segoe UI" w:cs="Segoe UI"/>
          <w:b/>
          <w:bCs/>
          <w:sz w:val="24"/>
          <w:szCs w:val="24"/>
        </w:rPr>
        <w:t>Přehled finančních oprav při porušení povinností při zadávání veřejných zakázek</w:t>
      </w:r>
    </w:p>
    <w:p w14:paraId="41228D55" w14:textId="77777777" w:rsidR="000671F3" w:rsidRPr="000671F3" w:rsidRDefault="000671F3" w:rsidP="000671F3">
      <w:pPr>
        <w:pStyle w:val="Nadpis1"/>
        <w:pBdr>
          <w:bottom w:val="single" w:sz="4" w:space="1" w:color="auto"/>
        </w:pBdr>
        <w:spacing w:before="600" w:after="120" w:line="264" w:lineRule="auto"/>
        <w:ind w:left="567" w:hanging="567"/>
        <w:rPr>
          <w:rFonts w:ascii="Segoe UI" w:hAnsi="Segoe UI" w:cs="Segoe UI"/>
          <w:color w:val="auto"/>
          <w:sz w:val="20"/>
          <w:szCs w:val="20"/>
        </w:rPr>
      </w:pPr>
      <w:r w:rsidRPr="000671F3">
        <w:rPr>
          <w:rFonts w:ascii="Segoe UI" w:hAnsi="Segoe UI" w:cs="Segoe UI"/>
          <w:color w:val="auto"/>
          <w:sz w:val="20"/>
          <w:szCs w:val="20"/>
        </w:rPr>
        <w:t xml:space="preserve">I. </w:t>
      </w:r>
      <w:r w:rsidRPr="000671F3">
        <w:rPr>
          <w:rFonts w:ascii="Segoe UI" w:hAnsi="Segoe UI" w:cs="Segoe UI"/>
          <w:color w:val="auto"/>
          <w:sz w:val="20"/>
          <w:szCs w:val="20"/>
        </w:rPr>
        <w:tab/>
        <w:t>OBECNÁ USTANOVENÍ</w:t>
      </w:r>
    </w:p>
    <w:p w14:paraId="6594BD35" w14:textId="4D06C81B" w:rsidR="000671F3" w:rsidRDefault="000671F3" w:rsidP="000671F3">
      <w:pPr>
        <w:pStyle w:val="Odstavecseseznamem"/>
        <w:numPr>
          <w:ilvl w:val="0"/>
          <w:numId w:val="2"/>
        </w:numPr>
        <w:spacing w:before="120" w:line="264" w:lineRule="auto"/>
        <w:ind w:left="567" w:hanging="283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Podle této přílohy se v souladu se zákonem č. 218/2000 Sb., o rozpočtových pravidlech a o změně některých souvisejících zákonů, ve znění pozdějších předpisů, stanovuje výše finanční opravy</w:t>
      </w:r>
      <w:r w:rsidR="002844C8">
        <w:rPr>
          <w:rFonts w:ascii="Segoe UI" w:hAnsi="Segoe UI" w:cs="Segoe UI"/>
          <w:sz w:val="20"/>
          <w:szCs w:val="20"/>
        </w:rPr>
        <w:t xml:space="preserve"> (odvodu)</w:t>
      </w:r>
      <w:r>
        <w:rPr>
          <w:rFonts w:ascii="Segoe UI" w:hAnsi="Segoe UI" w:cs="Segoe UI"/>
          <w:sz w:val="20"/>
          <w:szCs w:val="20"/>
        </w:rPr>
        <w:t xml:space="preserve"> za porušení rozpočtové kázně v případě pochybení, které spočívá v porušení povinností stanovených při zadávání zakázek</w:t>
      </w:r>
      <w:r w:rsidR="006E4837">
        <w:rPr>
          <w:rFonts w:ascii="Segoe UI" w:hAnsi="Segoe UI" w:cs="Segoe UI"/>
          <w:sz w:val="20"/>
          <w:szCs w:val="20"/>
        </w:rPr>
        <w:t> </w:t>
      </w:r>
      <w:r>
        <w:rPr>
          <w:rFonts w:ascii="Segoe UI" w:hAnsi="Segoe UI" w:cs="Segoe UI"/>
          <w:sz w:val="20"/>
          <w:szCs w:val="20"/>
        </w:rPr>
        <w:t>/</w:t>
      </w:r>
      <w:r w:rsidR="006E4837">
        <w:rPr>
          <w:rFonts w:ascii="Segoe UI" w:hAnsi="Segoe UI" w:cs="Segoe UI"/>
          <w:sz w:val="20"/>
          <w:szCs w:val="20"/>
        </w:rPr>
        <w:t> </w:t>
      </w:r>
      <w:r>
        <w:rPr>
          <w:rFonts w:ascii="Segoe UI" w:hAnsi="Segoe UI" w:cs="Segoe UI"/>
          <w:sz w:val="20"/>
          <w:szCs w:val="20"/>
        </w:rPr>
        <w:t xml:space="preserve">veřejných zakázek (souhrnně dále jen </w:t>
      </w:r>
      <w:r w:rsidRPr="000671F3">
        <w:rPr>
          <w:rFonts w:ascii="Segoe UI" w:hAnsi="Segoe UI" w:cs="Segoe UI"/>
          <w:i/>
          <w:iCs/>
          <w:sz w:val="20"/>
          <w:szCs w:val="20"/>
        </w:rPr>
        <w:t>„veřejné zakázky“</w:t>
      </w:r>
      <w:r>
        <w:rPr>
          <w:rFonts w:ascii="Segoe UI" w:hAnsi="Segoe UI" w:cs="Segoe UI"/>
          <w:sz w:val="20"/>
          <w:szCs w:val="20"/>
        </w:rPr>
        <w:t xml:space="preserve">), zejména v nedodržení postupu podle zákona č. 134/2016 Sb., o zadávání veřejných zakázek, ve znění účinném ke dni zahájení zadávacího řízení (dále jen </w:t>
      </w:r>
      <w:r w:rsidRPr="006E4837">
        <w:rPr>
          <w:rFonts w:ascii="Segoe UI" w:hAnsi="Segoe UI" w:cs="Segoe UI"/>
          <w:i/>
          <w:iCs/>
          <w:sz w:val="20"/>
          <w:szCs w:val="20"/>
        </w:rPr>
        <w:t>„</w:t>
      </w:r>
      <w:r w:rsidR="006E4837" w:rsidRPr="006E4837">
        <w:rPr>
          <w:rFonts w:ascii="Segoe UI" w:hAnsi="Segoe UI" w:cs="Segoe UI"/>
          <w:i/>
          <w:iCs/>
          <w:sz w:val="20"/>
          <w:szCs w:val="20"/>
        </w:rPr>
        <w:t>zákon</w:t>
      </w:r>
      <w:r w:rsidRPr="006E4837">
        <w:rPr>
          <w:rFonts w:ascii="Segoe UI" w:hAnsi="Segoe UI" w:cs="Segoe UI"/>
          <w:i/>
          <w:iCs/>
          <w:sz w:val="20"/>
          <w:szCs w:val="20"/>
        </w:rPr>
        <w:t>“</w:t>
      </w:r>
      <w:r>
        <w:rPr>
          <w:rFonts w:ascii="Segoe UI" w:hAnsi="Segoe UI" w:cs="Segoe UI"/>
          <w:sz w:val="20"/>
          <w:szCs w:val="20"/>
        </w:rPr>
        <w:t>) a/nebo nedodržení postupu stanoveného v</w:t>
      </w:r>
      <w:r w:rsidR="006E4837">
        <w:rPr>
          <w:rFonts w:ascii="Segoe UI" w:hAnsi="Segoe UI" w:cs="Segoe UI"/>
          <w:sz w:val="20"/>
          <w:szCs w:val="20"/>
        </w:rPr>
        <w:t> </w:t>
      </w:r>
      <w:r w:rsidR="002844C8" w:rsidRPr="002844C8">
        <w:rPr>
          <w:rFonts w:ascii="Segoe UI" w:hAnsi="Segoe UI" w:cs="Segoe UI"/>
          <w:sz w:val="20"/>
          <w:szCs w:val="20"/>
        </w:rPr>
        <w:t>Pokynech pro zadávání zakázek pro programy spolufinancované z rozpočtu Fondu</w:t>
      </w:r>
      <w:r>
        <w:rPr>
          <w:rFonts w:ascii="Segoe UI" w:hAnsi="Segoe UI" w:cs="Segoe UI"/>
          <w:sz w:val="20"/>
          <w:szCs w:val="20"/>
        </w:rPr>
        <w:t xml:space="preserve">, ve znění účinném </w:t>
      </w:r>
      <w:r w:rsidR="006E4837">
        <w:rPr>
          <w:rFonts w:ascii="Segoe UI" w:hAnsi="Segoe UI" w:cs="Segoe UI"/>
          <w:sz w:val="20"/>
          <w:szCs w:val="20"/>
        </w:rPr>
        <w:t>ke dni</w:t>
      </w:r>
      <w:r>
        <w:rPr>
          <w:rFonts w:ascii="Segoe UI" w:hAnsi="Segoe UI" w:cs="Segoe UI"/>
          <w:sz w:val="20"/>
          <w:szCs w:val="20"/>
        </w:rPr>
        <w:t xml:space="preserve"> zahájení výběrového/zadávacího řízení (dále jen </w:t>
      </w:r>
      <w:r w:rsidRPr="006E4837">
        <w:rPr>
          <w:rFonts w:ascii="Segoe UI" w:hAnsi="Segoe UI" w:cs="Segoe UI"/>
          <w:i/>
          <w:iCs/>
          <w:sz w:val="20"/>
          <w:szCs w:val="20"/>
        </w:rPr>
        <w:t>„</w:t>
      </w:r>
      <w:r w:rsidR="006E4837" w:rsidRPr="006E4837">
        <w:rPr>
          <w:rFonts w:ascii="Segoe UI" w:hAnsi="Segoe UI" w:cs="Segoe UI"/>
          <w:i/>
          <w:iCs/>
          <w:sz w:val="20"/>
          <w:szCs w:val="20"/>
        </w:rPr>
        <w:t>Pokyny</w:t>
      </w:r>
      <w:r w:rsidRPr="006E4837">
        <w:rPr>
          <w:rFonts w:ascii="Segoe UI" w:hAnsi="Segoe UI" w:cs="Segoe UI"/>
          <w:i/>
          <w:iCs/>
          <w:sz w:val="20"/>
          <w:szCs w:val="20"/>
        </w:rPr>
        <w:t>“</w:t>
      </w:r>
      <w:r>
        <w:rPr>
          <w:rFonts w:ascii="Segoe UI" w:hAnsi="Segoe UI" w:cs="Segoe UI"/>
          <w:sz w:val="20"/>
          <w:szCs w:val="20"/>
        </w:rPr>
        <w:t>).</w:t>
      </w:r>
    </w:p>
    <w:p w14:paraId="162B9776" w14:textId="77777777" w:rsidR="000671F3" w:rsidRDefault="000671F3" w:rsidP="000671F3">
      <w:pPr>
        <w:pStyle w:val="Odstavecseseznamem"/>
        <w:numPr>
          <w:ilvl w:val="0"/>
          <w:numId w:val="2"/>
        </w:numPr>
        <w:spacing w:before="120" w:line="264" w:lineRule="auto"/>
        <w:ind w:left="567" w:hanging="283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V případě, že identifikované porušení nemohlo mít ani potenciální finanční dopad, nestanoví se za něj žádná finanční oprava.</w:t>
      </w:r>
    </w:p>
    <w:p w14:paraId="215E515A" w14:textId="649EB0C0" w:rsidR="000671F3" w:rsidRDefault="000671F3" w:rsidP="000671F3">
      <w:pPr>
        <w:pStyle w:val="Odstavecseseznamem"/>
        <w:numPr>
          <w:ilvl w:val="0"/>
          <w:numId w:val="2"/>
        </w:numPr>
        <w:spacing w:before="120" w:line="264" w:lineRule="auto"/>
        <w:ind w:left="567" w:hanging="283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Finanční oprava bude vždy stanovena paušální sazbou dle kapitoly II. – Typy porušení a sazby finančních oprav. </w:t>
      </w:r>
    </w:p>
    <w:p w14:paraId="3A63A81C" w14:textId="109E69E9" w:rsidR="000671F3" w:rsidRDefault="000671F3" w:rsidP="000671F3">
      <w:pPr>
        <w:pStyle w:val="Odstavecseseznamem"/>
        <w:numPr>
          <w:ilvl w:val="0"/>
          <w:numId w:val="2"/>
        </w:numPr>
        <w:spacing w:before="120" w:line="264" w:lineRule="auto"/>
        <w:ind w:left="567" w:hanging="283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Výše finanční opravy se vypočte z částky, která byla nebo má být z </w:t>
      </w:r>
      <w:r w:rsidR="00767070" w:rsidRPr="00767070">
        <w:rPr>
          <w:rFonts w:ascii="Segoe UI" w:hAnsi="Segoe UI" w:cs="Segoe UI"/>
          <w:sz w:val="20"/>
          <w:szCs w:val="20"/>
        </w:rPr>
        <w:t xml:space="preserve">rozpočtu </w:t>
      </w:r>
      <w:r w:rsidR="00767070">
        <w:rPr>
          <w:rFonts w:ascii="Segoe UI" w:hAnsi="Segoe UI" w:cs="Segoe UI"/>
          <w:sz w:val="20"/>
          <w:szCs w:val="20"/>
        </w:rPr>
        <w:t>Fondu</w:t>
      </w:r>
      <w:r>
        <w:rPr>
          <w:rFonts w:ascii="Segoe UI" w:hAnsi="Segoe UI" w:cs="Segoe UI"/>
          <w:sz w:val="20"/>
          <w:szCs w:val="20"/>
        </w:rPr>
        <w:t xml:space="preserve"> poskytnuta </w:t>
      </w:r>
      <w:r w:rsidR="00B142F6">
        <w:rPr>
          <w:rFonts w:ascii="Segoe UI" w:hAnsi="Segoe UI" w:cs="Segoe UI"/>
          <w:sz w:val="20"/>
          <w:szCs w:val="20"/>
        </w:rPr>
        <w:br/>
      </w:r>
      <w:r>
        <w:rPr>
          <w:rFonts w:ascii="Segoe UI" w:hAnsi="Segoe UI" w:cs="Segoe UI"/>
          <w:sz w:val="20"/>
          <w:szCs w:val="20"/>
        </w:rPr>
        <w:t>v souvislosti s veřejnou zakázkou, u které se porušení vyskytlo.</w:t>
      </w:r>
    </w:p>
    <w:p w14:paraId="2DAE8B9D" w14:textId="36EF9DFA" w:rsidR="000671F3" w:rsidRDefault="000671F3" w:rsidP="000671F3">
      <w:pPr>
        <w:pStyle w:val="Odstavecseseznamem"/>
        <w:numPr>
          <w:ilvl w:val="0"/>
          <w:numId w:val="2"/>
        </w:numPr>
        <w:spacing w:before="120" w:line="264" w:lineRule="auto"/>
        <w:ind w:left="567" w:hanging="283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V případě, že u veřejné zakázky bude identifikováno více porušení, výše finančních oprav stanovených za jednotlivá porušení se nesčítají, a výsledná finanční oprava je stanovena s ohledem na nejzávažnější porušení.</w:t>
      </w:r>
    </w:p>
    <w:p w14:paraId="68199C1F" w14:textId="77BA287A" w:rsidR="00C124FE" w:rsidRDefault="000671F3" w:rsidP="000671F3">
      <w:pPr>
        <w:pStyle w:val="Odstavecseseznamem"/>
        <w:numPr>
          <w:ilvl w:val="0"/>
          <w:numId w:val="2"/>
        </w:numPr>
        <w:spacing w:before="120" w:line="264" w:lineRule="auto"/>
        <w:ind w:left="567" w:hanging="283"/>
        <w:contextualSpacing w:val="0"/>
        <w:rPr>
          <w:rFonts w:ascii="Segoe UI" w:hAnsi="Segoe UI" w:cs="Segoe UI"/>
          <w:sz w:val="20"/>
          <w:szCs w:val="20"/>
        </w:rPr>
      </w:pPr>
      <w:r w:rsidRPr="000671F3">
        <w:rPr>
          <w:rFonts w:ascii="Segoe UI" w:hAnsi="Segoe UI" w:cs="Segoe UI"/>
          <w:sz w:val="20"/>
          <w:szCs w:val="20"/>
        </w:rPr>
        <w:t>Závažnost porušení je posuzována zejména z hlediska jeho skutečného nebo možného vlivu na výsledek výběrového/zadávacího řízení, z hlediska míry porušení základních zásad zadávání veřejných zakázek a z hlediska míry porušení principů hospodárnosti, efektivity a účelnosti při vynakládání veřejných prostředků. Porušení je nutno považovat za závažné především v případech, kdy v jeho důsledku došlo k odrazení potenciálních dodavatelů od účasti ve výběrovém/zadávacím řízení</w:t>
      </w:r>
      <w:r>
        <w:rPr>
          <w:rFonts w:ascii="Segoe UI" w:hAnsi="Segoe UI" w:cs="Segoe UI"/>
          <w:sz w:val="20"/>
          <w:szCs w:val="20"/>
        </w:rPr>
        <w:t>,</w:t>
      </w:r>
      <w:r w:rsidRPr="000671F3">
        <w:rPr>
          <w:rFonts w:ascii="Segoe UI" w:hAnsi="Segoe UI" w:cs="Segoe UI"/>
          <w:sz w:val="20"/>
          <w:szCs w:val="20"/>
        </w:rPr>
        <w:t xml:space="preserve"> nebo k zadání veřejné zakázky jinému dodavateli, než kterému měla být zadána.</w:t>
      </w:r>
    </w:p>
    <w:p w14:paraId="2824BDC3" w14:textId="3BAFD0D3" w:rsidR="000671F3" w:rsidRDefault="000671F3" w:rsidP="000671F3">
      <w:pPr>
        <w:pStyle w:val="Odstavecseseznamem"/>
        <w:numPr>
          <w:ilvl w:val="0"/>
          <w:numId w:val="2"/>
        </w:numPr>
        <w:spacing w:before="120" w:line="264" w:lineRule="auto"/>
        <w:ind w:left="567" w:hanging="283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V případě, že bude identifikováno porušení, které nelze podřadit pod konkrétní typ porušení uvedený v kapitole II. – Typy porušení a sazby finančních oprav, bude stanovena finanční oprava analogicky a dle zásady přiměřenosti.</w:t>
      </w:r>
    </w:p>
    <w:p w14:paraId="6AE8BB84" w14:textId="77777777" w:rsidR="000671F3" w:rsidRDefault="000671F3">
      <w:pPr>
        <w:widowControl/>
        <w:spacing w:line="240" w:lineRule="auto"/>
        <w:jc w:val="left"/>
        <w:rPr>
          <w:rFonts w:ascii="Segoe UI" w:eastAsiaTheme="majorEastAsia" w:hAnsi="Segoe UI" w:cs="Segoe UI"/>
          <w:color w:val="0F4761" w:themeColor="accent1" w:themeShade="BF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br w:type="page"/>
      </w:r>
    </w:p>
    <w:p w14:paraId="2FB4AE75" w14:textId="62EAF5E8" w:rsidR="000671F3" w:rsidRPr="006E4837" w:rsidRDefault="000671F3" w:rsidP="006E4837">
      <w:pPr>
        <w:pStyle w:val="Nadpis1"/>
        <w:pBdr>
          <w:bottom w:val="single" w:sz="4" w:space="1" w:color="auto"/>
        </w:pBdr>
        <w:spacing w:before="600" w:after="120" w:line="264" w:lineRule="auto"/>
        <w:ind w:left="567" w:hanging="567"/>
        <w:rPr>
          <w:rFonts w:ascii="Segoe UI" w:hAnsi="Segoe UI" w:cs="Segoe UI"/>
          <w:color w:val="auto"/>
          <w:sz w:val="20"/>
          <w:szCs w:val="20"/>
        </w:rPr>
      </w:pPr>
      <w:r w:rsidRPr="006E4837">
        <w:rPr>
          <w:rFonts w:ascii="Segoe UI" w:hAnsi="Segoe UI" w:cs="Segoe UI"/>
          <w:color w:val="auto"/>
          <w:sz w:val="20"/>
          <w:szCs w:val="20"/>
        </w:rPr>
        <w:lastRenderedPageBreak/>
        <w:t>II.</w:t>
      </w:r>
      <w:r w:rsidRPr="006E4837">
        <w:rPr>
          <w:rFonts w:ascii="Segoe UI" w:hAnsi="Segoe UI" w:cs="Segoe UI"/>
          <w:color w:val="auto"/>
          <w:sz w:val="20"/>
          <w:szCs w:val="20"/>
        </w:rPr>
        <w:tab/>
        <w:t>TYPY PORUŠENÍ A SAZBY FINANČNÍCH OPRAV</w:t>
      </w:r>
    </w:p>
    <w:p w14:paraId="419584C9" w14:textId="77777777" w:rsidR="000671F3" w:rsidRDefault="000671F3" w:rsidP="000671F3">
      <w:pPr>
        <w:widowControl/>
        <w:spacing w:before="120" w:line="264" w:lineRule="auto"/>
        <w:rPr>
          <w:rFonts w:ascii="Segoe UI" w:hAnsi="Segoe UI" w:cs="Segoe UI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646"/>
        <w:gridCol w:w="2804"/>
        <w:gridCol w:w="2806"/>
        <w:gridCol w:w="2806"/>
      </w:tblGrid>
      <w:tr w:rsidR="000671F3" w14:paraId="044867E5" w14:textId="77777777" w:rsidTr="006E4837">
        <w:trPr>
          <w:tblHeader/>
        </w:trPr>
        <w:tc>
          <w:tcPr>
            <w:tcW w:w="356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013FB66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Č.</w:t>
            </w:r>
          </w:p>
        </w:tc>
        <w:tc>
          <w:tcPr>
            <w:tcW w:w="1547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39A02C81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Typ porušení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50D83065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Popis porušení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10C5833D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Sazba finanční opravy</w:t>
            </w:r>
          </w:p>
        </w:tc>
      </w:tr>
      <w:tr w:rsidR="000671F3" w14:paraId="1702C2B3" w14:textId="77777777" w:rsidTr="006E4837">
        <w:trPr>
          <w:trHeight w:val="20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8C68086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23D87B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Nedodržení požadovaného způsobu zahájení řízení a jeho uveřejnění </w:t>
            </w:r>
          </w:p>
          <w:p w14:paraId="2D8B8A8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nebo </w:t>
            </w:r>
          </w:p>
          <w:p w14:paraId="5D4E7F90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neoprávněné přímé zadání (např. neoprávněné užití jednacího řízení bez uveřejnění)</w:t>
            </w:r>
          </w:p>
        </w:tc>
        <w:tc>
          <w:tcPr>
            <w:tcW w:w="1548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7809054" w14:textId="24E33AC2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zadal veřejnou zakázku, aniž by zahájil zadávací řízení v souladu se zákonem nebo výběrové řízení v souladu s</w:t>
            </w:r>
            <w:r w:rsidR="002844C8">
              <w:rPr>
                <w:rFonts w:ascii="Segoe UI" w:hAnsi="Segoe UI" w:cs="Segoe UI"/>
                <w:sz w:val="20"/>
                <w:szCs w:val="20"/>
              </w:rPr>
              <w:t> </w:t>
            </w:r>
            <w:r w:rsidR="006E4837">
              <w:rPr>
                <w:rFonts w:ascii="Segoe UI" w:hAnsi="Segoe UI" w:cs="Segoe UI"/>
                <w:sz w:val="20"/>
                <w:szCs w:val="20"/>
              </w:rPr>
              <w:t>Pokyny</w:t>
            </w:r>
            <w:r w:rsidR="002844C8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A2DB84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100 %</w:t>
            </w:r>
          </w:p>
        </w:tc>
      </w:tr>
      <w:tr w:rsidR="000671F3" w14:paraId="5D1AB073" w14:textId="77777777" w:rsidTr="006E4837">
        <w:trPr>
          <w:trHeight w:val="1768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FF41721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2283F7B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D181A2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0AFA35B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byla dodržena určitá míra uveřejnění, která umožnila potenciálním dodavatelům přístup k zadávané veřejné zakázce</w:t>
            </w:r>
          </w:p>
        </w:tc>
      </w:tr>
      <w:tr w:rsidR="000671F3" w14:paraId="55256350" w14:textId="77777777" w:rsidTr="006E4837">
        <w:trPr>
          <w:trHeight w:val="20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3F0162C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C8F937E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Neoprávněné rozdělení předmětu veřejné zakázky</w:t>
            </w:r>
          </w:p>
        </w:tc>
        <w:tc>
          <w:tcPr>
            <w:tcW w:w="1548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B1A05C3" w14:textId="13A51F18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uměle rozdělil předmět veřejné zakázky tak, že tím došlo ke snížení předpokládané hodnoty pod finanční limity stanovené v zákoně nebo v </w:t>
            </w:r>
            <w:r w:rsidR="006E4837">
              <w:rPr>
                <w:rFonts w:ascii="Segoe UI" w:hAnsi="Segoe UI" w:cs="Segoe UI"/>
                <w:sz w:val="20"/>
                <w:szCs w:val="20"/>
              </w:rPr>
              <w:t>Pokynech</w:t>
            </w:r>
            <w:r>
              <w:rPr>
                <w:rFonts w:ascii="Segoe UI" w:hAnsi="Segoe UI" w:cs="Segoe UI"/>
                <w:sz w:val="20"/>
                <w:szCs w:val="20"/>
              </w:rPr>
              <w:t>, čímž nebylo zajištěno řádné uveřejnění veřejné zakázky</w:t>
            </w:r>
            <w:r w:rsidR="002844C8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05C0480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100 %, pokud veřejná zakázka nebyla uveřejněna, ačkoliv se na ni tato povinnost vztahovala</w:t>
            </w:r>
          </w:p>
        </w:tc>
      </w:tr>
      <w:tr w:rsidR="000671F3" w14:paraId="5D1C6A89" w14:textId="77777777" w:rsidTr="006E4837">
        <w:trPr>
          <w:trHeight w:val="1151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65FD27A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51A40B3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B30FD9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17CD5A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byla dodržena určitá míra uveřejnění, která umožnila potenciálním dodavatelům přístup k zadávané veřejné zakázce</w:t>
            </w:r>
          </w:p>
        </w:tc>
      </w:tr>
      <w:tr w:rsidR="000671F3" w14:paraId="411EEE84" w14:textId="77777777" w:rsidTr="006E4837">
        <w:trPr>
          <w:trHeight w:val="924"/>
        </w:trPr>
        <w:tc>
          <w:tcPr>
            <w:tcW w:w="356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62FFD16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3</w:t>
            </w:r>
          </w:p>
        </w:tc>
        <w:tc>
          <w:tcPr>
            <w:tcW w:w="1547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A0CFD60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Chybějící či nedostatečné zdůvodnění nerozdělení veřejné zakázky na části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F61112E" w14:textId="6B863643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nerozdělil nadlimitní veřejnou zakázku na části dle zákona a toto rozhodnutí v písemné zprávě zadavatele neodůvodnil či toto odůvodnění nebylo dostatečné</w:t>
            </w:r>
            <w:r w:rsidR="002844C8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9DD129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5 % </w:t>
            </w:r>
          </w:p>
        </w:tc>
      </w:tr>
      <w:tr w:rsidR="000671F3" w14:paraId="12FB3437" w14:textId="77777777" w:rsidTr="006E4837">
        <w:trPr>
          <w:trHeight w:val="252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AB1189D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4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70A36F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Nedodržení minimální délky lhůty pro podání nabídek, předběžných nabídek nebo žádostí o účast</w:t>
            </w:r>
          </w:p>
          <w:p w14:paraId="3DECA70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</w:t>
            </w:r>
          </w:p>
          <w:p w14:paraId="3AD1BCC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neprodloužení této lhůty v případě takové změny zadávacích podmínek, jejichž povaha to vyžadovala</w:t>
            </w:r>
          </w:p>
        </w:tc>
        <w:tc>
          <w:tcPr>
            <w:tcW w:w="1548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B44A97D" w14:textId="08031750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stanovil lhůtu pro podání nabídek,</w:t>
            </w:r>
            <w:r w:rsidR="006E4837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předběžných nabídek nebo žádostí o účast tak, že jejich délka nedosahovala minimálních lhůt stanovených v zákoně nebo </w:t>
            </w:r>
            <w:r w:rsidR="006E4837">
              <w:rPr>
                <w:rFonts w:ascii="Segoe UI" w:hAnsi="Segoe UI" w:cs="Segoe UI"/>
                <w:sz w:val="20"/>
                <w:szCs w:val="20"/>
              </w:rPr>
              <w:t>Pokynech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  <w:p w14:paraId="3426EFE9" w14:textId="5B4384F0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nebo zadavatel v případě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takové změny zadávacích podmínek, jejichž povaha to vyžadovala, přiměřeně tuto lhůtu neprodloužil</w:t>
            </w:r>
            <w:r w:rsidR="00495E6E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4CE8CC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100 %, pokud je zkrácení vyšší nebo rovno 85 % délky minimální lhůty, nebo byla lhůta rovna nebo kratší než 5 dnů.</w:t>
            </w:r>
          </w:p>
        </w:tc>
      </w:tr>
      <w:tr w:rsidR="000671F3" w14:paraId="11E93D45" w14:textId="77777777" w:rsidTr="006E4837">
        <w:trPr>
          <w:trHeight w:val="252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A0EE2DE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8224407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598912B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905E32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je zkrácení vyšší nebo rovno 50 % délky minimální lhůty (ale nedosahuje 85 %)</w:t>
            </w:r>
          </w:p>
        </w:tc>
      </w:tr>
      <w:tr w:rsidR="000671F3" w14:paraId="34F65BB4" w14:textId="77777777" w:rsidTr="006E4837">
        <w:trPr>
          <w:trHeight w:val="1027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BE04693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6004C5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47CB43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F1B68D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10 %, pokud je zkrácení vyšší nebo rovno 30 % délky minimální lhůty (ale nedosahuje 50 %)</w:t>
            </w:r>
          </w:p>
          <w:p w14:paraId="0991000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</w:t>
            </w:r>
          </w:p>
          <w:p w14:paraId="1ABBE2BE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nebyla prodloužena lhůta pro podání nabídek, předběžných nabídek nebo žádostí o účast v případě takové změny zadávacích podmínek, jejichž povaha to vyžadovala</w:t>
            </w:r>
          </w:p>
        </w:tc>
      </w:tr>
      <w:tr w:rsidR="000671F3" w14:paraId="352D3007" w14:textId="77777777" w:rsidTr="00A74F2B">
        <w:trPr>
          <w:trHeight w:val="29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A28E992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E95766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6ED457D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78F729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5 %, pokud je zkrácení nižší než 30 %</w:t>
            </w:r>
          </w:p>
        </w:tc>
      </w:tr>
      <w:tr w:rsidR="000671F3" w14:paraId="22C0E245" w14:textId="77777777" w:rsidTr="006E4837">
        <w:trPr>
          <w:trHeight w:val="20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1985676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5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C399F2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Nedostatečná doba pro opatření zadávací dokumentace</w:t>
            </w:r>
          </w:p>
          <w:p w14:paraId="799B23B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</w:t>
            </w:r>
          </w:p>
          <w:p w14:paraId="4FB5CBDE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jiná omezení pro získání zadávací dokumentace</w:t>
            </w:r>
          </w:p>
        </w:tc>
        <w:tc>
          <w:tcPr>
            <w:tcW w:w="1548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C5AD9E5" w14:textId="33EDDC83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Jestliže zadávací dokumentace není volně, přímo a úplně dostupná, přičemž doba, ve které si ji mohou potenciální dodavatelé opatřit, je příliš krátká, či zadavatel jinak vytváří neodůvodněnou překážku pro řádnou hospodářskou soutěž</w:t>
            </w:r>
            <w:r w:rsidR="00495E6E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465DC4B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10 %, pokud po zkrácení činí délka lhůty pro doručení nabídek méně než nebo je rovna 50 % stanovené lhůty pro doručení nabídek</w:t>
            </w:r>
          </w:p>
        </w:tc>
      </w:tr>
      <w:tr w:rsidR="000671F3" w14:paraId="701B71BD" w14:textId="77777777" w:rsidTr="006E4837">
        <w:trPr>
          <w:trHeight w:val="1177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CB52D4F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D980B0A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CEC4238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84D7F5B" w14:textId="1B0A18D8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5 %, pokud po zkrácení činí délka lhůty pro doručení nabídek méně než nebo je rovna 80 % stanovené lhůty pro doručení nabídek</w:t>
            </w:r>
          </w:p>
        </w:tc>
      </w:tr>
      <w:tr w:rsidR="000671F3" w14:paraId="4E41D54C" w14:textId="77777777" w:rsidTr="006E4837">
        <w:trPr>
          <w:trHeight w:val="2097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7E75BE4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1BD19F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E99CDEE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D7DFBF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25 %, pokud je doba pro získání zadávací dokumentace rovna nebo nižší 5 dnům </w:t>
            </w:r>
          </w:p>
          <w:p w14:paraId="553786F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 zadavatel vůbec neumožnil bezplatný, neomezený a přímý přístup k zadávací dokumentaci elektronickým způsobem</w:t>
            </w:r>
          </w:p>
        </w:tc>
      </w:tr>
      <w:tr w:rsidR="000671F3" w14:paraId="2EA35AB8" w14:textId="77777777" w:rsidTr="006E4837">
        <w:trPr>
          <w:trHeight w:val="1140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EA0B274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6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5EAF0E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Neuveřejnění prodloužení lhůty pro podání nabídek, předběžných nabídek nebo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žádostí o účast</w:t>
            </w:r>
          </w:p>
          <w:p w14:paraId="21294CFA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</w:t>
            </w:r>
          </w:p>
          <w:p w14:paraId="487AD1F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neprodloužení této lhůty při nedodržení stanovené lhůty pro poskytnutí vysvětlení</w:t>
            </w:r>
          </w:p>
        </w:tc>
        <w:tc>
          <w:tcPr>
            <w:tcW w:w="1548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AD68F1C" w14:textId="55AD1FD3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Zadavatel v průběhu výběrového/zadávacího řízení prodloužil lhůtu pro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podání nabídek, předběžných nabídek nebo žádostí o účast, aniž by tuto skutečnost uveřejnil způsobem stanoveným v zákoně nebo 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 xml:space="preserve">v </w:t>
            </w:r>
            <w:r w:rsidR="006E4837">
              <w:rPr>
                <w:rFonts w:ascii="Segoe UI" w:hAnsi="Segoe UI" w:cs="Segoe UI"/>
                <w:sz w:val="20"/>
                <w:szCs w:val="20"/>
              </w:rPr>
              <w:t>Pokynech</w:t>
            </w:r>
            <w:r>
              <w:rPr>
                <w:rFonts w:ascii="Segoe UI" w:hAnsi="Segoe UI" w:cs="Segoe UI"/>
                <w:sz w:val="20"/>
                <w:szCs w:val="20"/>
              </w:rPr>
              <w:t>, resp. způsobem, jakým bylo zahájeno výběrové/zadávací řízení, nebo ačkoliv žádost o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> </w:t>
            </w:r>
            <w:r>
              <w:rPr>
                <w:rFonts w:ascii="Segoe UI" w:hAnsi="Segoe UI" w:cs="Segoe UI"/>
                <w:sz w:val="20"/>
                <w:szCs w:val="20"/>
              </w:rPr>
              <w:t>vysvětlení byla doručena včas, zadavatel toto vysvětlení neuveřejnil, neodeslal nebo nepředal ve stanovené lhůtě a současně neprodloužil lhůtu pro podání nabídek</w:t>
            </w:r>
            <w:r w:rsidR="004900E7">
              <w:rPr>
                <w:rFonts w:ascii="Segoe UI" w:hAnsi="Segoe UI" w:cs="Segoe UI"/>
                <w:sz w:val="20"/>
                <w:szCs w:val="20"/>
              </w:rPr>
              <w:t>.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43CE17E" w14:textId="2891F442" w:rsidR="006E4837" w:rsidRPr="006E4837" w:rsidRDefault="000671F3" w:rsidP="00814F9B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5 %, pokud došlo k uveřejnění jiným vhodným způsobem</w:t>
            </w:r>
          </w:p>
        </w:tc>
      </w:tr>
      <w:tr w:rsidR="000671F3" w14:paraId="7C02E1F2" w14:textId="77777777" w:rsidTr="006E4837">
        <w:trPr>
          <w:trHeight w:val="615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BDC044F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29E1EC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70F3DC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EC145A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10 %, pokud nedošlo k uveřejnění, </w:t>
            </w:r>
          </w:p>
          <w:p w14:paraId="1799A2A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 pokud nedošlo k prodloužení lhůty pro podání nabídek v důsledku nedodržení lhůty pro poskytnutí vysvětlení zadávací dokumentace</w:t>
            </w:r>
          </w:p>
        </w:tc>
      </w:tr>
      <w:tr w:rsidR="000671F3" w14:paraId="58A5EBA7" w14:textId="77777777" w:rsidTr="006E4837">
        <w:trPr>
          <w:trHeight w:val="20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5A300F8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7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968EDE8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Použití jednacího řízení s uveřejněním nebo soutěžního dialogu v rozporu se zákonem</w:t>
            </w:r>
          </w:p>
        </w:tc>
        <w:tc>
          <w:tcPr>
            <w:tcW w:w="1548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97B9F85" w14:textId="2B919C8D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zadal veřejnou zakázku v jednacím řízení s uveřejněním nebo v soutěžním dialogu, aniž by byly splněny zákonné podmínky pro takový postup, nebo v průběhu jednacího řízení s uveřejněním nebo v soutěžním dialogu podstatně změnil zadávací podmínky</w:t>
            </w:r>
            <w:r w:rsidR="004900E7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6A37AA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</w:t>
            </w:r>
          </w:p>
        </w:tc>
      </w:tr>
      <w:tr w:rsidR="000671F3" w14:paraId="68CEFD2B" w14:textId="77777777" w:rsidTr="006E4837">
        <w:trPr>
          <w:trHeight w:val="1140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04E5755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87946C7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F9CED2D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243A99F" w14:textId="7587D6A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10 %, pokud byla zajištěna transparentnost zadávacího řízení vč. zdůvodnění užití tohoto druhu řízení v zadávací dokumentaci, nebyl omezen počet potenciálních dodavatelů, kteří mohli podat nabídku nebo žádost o účast, a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> 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současně byl zajištěn rovný přístup ke všem účastníkům, kteří podali nabídku či žádost o účast </w:t>
            </w:r>
          </w:p>
        </w:tc>
      </w:tr>
      <w:tr w:rsidR="000671F3" w14:paraId="07FC4D1D" w14:textId="77777777" w:rsidTr="006E4837">
        <w:trPr>
          <w:trHeight w:val="50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7D3549A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8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1618D0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Nesoulad se stanovenými postupy pro elektronické nebo souhrnné zadávání veřejných zakázek</w:t>
            </w:r>
            <w:r>
              <w:rPr>
                <w:rFonts w:ascii="Segoe UI" w:hAnsi="Segoe UI" w:cs="Segoe UI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1548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66D4E9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Nedodržení stanovených postupů pro elektronické nebo souhrnné zadávání veřejných zakázek (tj. rámcové dohody, dynamické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nákupní systémy, elektronické aukce, elektronické katalogy, centralizované zadávání, společné zadávání a postupy centrálních zadavatelů)</w:t>
            </w:r>
          </w:p>
          <w:p w14:paraId="2A6DD8E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326865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10 %, pokud nedodržení mohlo mít za následek odrazení potenciálních dodavatelů od účasti ve výběrovém/zadávacím řízení</w:t>
            </w:r>
          </w:p>
        </w:tc>
      </w:tr>
      <w:tr w:rsidR="000671F3" w14:paraId="0C7542A2" w14:textId="77777777" w:rsidTr="006E4837">
        <w:trPr>
          <w:trHeight w:val="1267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5270A07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5B8AD18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8D569FA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E4F8A3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následkem tohoto porušení bylo přidělení veřejné zakázky jinému účastníkovi, než který by zvítězil, pokud by se zadavatel pochybení nedopustil</w:t>
            </w:r>
          </w:p>
        </w:tc>
      </w:tr>
      <w:tr w:rsidR="000671F3" w14:paraId="180AFA76" w14:textId="77777777" w:rsidTr="006E4837">
        <w:trPr>
          <w:trHeight w:val="20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98A099C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9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F9F677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Neuvedení nebo nedostatečné vymezení požadavků na kvalifikaci nebo hodnotících kritérií a jejich vah, podmínek plnění veřejné zakázky nebo technické specifikace</w:t>
            </w:r>
          </w:p>
          <w:p w14:paraId="7150DFC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nebo </w:t>
            </w:r>
          </w:p>
          <w:p w14:paraId="46A59AD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neuveřejnění či neposkytnutí vysvětlení objasňující či doplňující kvalifikační nebo hodnotící kritéria</w:t>
            </w:r>
          </w:p>
        </w:tc>
        <w:tc>
          <w:tcPr>
            <w:tcW w:w="1548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A31801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neuvedl v oznámení o zahájení výběrového/zadávacího řízení požadavky na kvalifikaci, hodnotící kritéria (vč. jejich vah a jasného způsobu hodnocení nabídek), podmínky plnění veřejné zakázky nebo technické specifikace, případně tyto požadavky nevymezil dostatečně určitě</w:t>
            </w:r>
          </w:p>
          <w:p w14:paraId="380B1033" w14:textId="2EC8F2DE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 objasnění či doplnění kvalifikačních či hodnotících kritérií nebylo sděleno všem účastníkům, popř. tyto informace nebyly uveřejněny</w:t>
            </w:r>
            <w:r w:rsidR="009D3FBB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B79505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nedošlo k uveřejnění kvalifikačních nebo hodnotících kritérií a jejich vah</w:t>
            </w:r>
          </w:p>
        </w:tc>
      </w:tr>
      <w:tr w:rsidR="000671F3" w14:paraId="5B89376A" w14:textId="77777777" w:rsidTr="006E4837">
        <w:trPr>
          <w:trHeight w:val="1140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8373BD5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9FF58B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3FAFB2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E83156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10 %, pokud podmínky plnění nebo technická specifikace nejsou v zadávací dokumentaci uvedeny, nebo</w:t>
            </w:r>
          </w:p>
          <w:p w14:paraId="65D94717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hodnotící kritéria a jejich váhy nejsou uvedeny dostatečně určitě, což mohlo mít odrazující účinek na potenciální dodavatele, nebo vysvětlení objasňující či doplňující kvalifikační nebo hodnotící kritéria nebyla sdělena všem známým dodavatelům a/nebo nebyla uveřejněna  </w:t>
            </w:r>
          </w:p>
        </w:tc>
      </w:tr>
      <w:tr w:rsidR="000671F3" w14:paraId="5A1547CE" w14:textId="77777777" w:rsidTr="006E4837">
        <w:trPr>
          <w:trHeight w:val="20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A1FB33A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D2B8A1D" w14:textId="2A5B029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Stanovení diskriminačních kritérií pro vyloučení, požadavků na kvalifikaci dodavatelů, kritérií hodnocení nabídek, podmínek pro plnění veřejné zakázky nebo technických specifikací v rozporu se zákonem nebo s 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>Pokyny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, a to ve vztahu k národním, regionálním nebo lokálním preferencím. </w:t>
            </w:r>
          </w:p>
        </w:tc>
        <w:tc>
          <w:tcPr>
            <w:tcW w:w="1548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A5E76C4" w14:textId="39DDB333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stanovil diskriminační nebo jin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 xml:space="preserve">á 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protiprávní kritéria pro vyloučení, požadavky na kvalifikaci dodavatelů, kritérií hodnocení nabídek, podmínek pro plnění veřejné zakázky nebo technických specifikací nutných pro účast ve výběrovém/zadávacím řízení ve vztahu k místu realizace (např. v případě požadavku na zkušenosti, zařízení, provozovnu atd.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z určitého regionu či státu)</w:t>
            </w:r>
            <w:r w:rsidR="009D3FBB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4FF1D5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25 %, pokud mohlo dojít k odrazení potenciálních dodavatelů od účasti ve výběrovém/zadávacím řízení</w:t>
            </w:r>
          </w:p>
        </w:tc>
      </w:tr>
      <w:tr w:rsidR="000671F3" w14:paraId="5AFB454B" w14:textId="77777777" w:rsidTr="006E4837">
        <w:trPr>
          <w:trHeight w:val="1395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D708253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04497D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28236AD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878525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10 %, pokud byla zajištěna minimální míra hospodářské soutěže</w:t>
            </w:r>
          </w:p>
        </w:tc>
      </w:tr>
      <w:tr w:rsidR="000671F3" w14:paraId="1441415B" w14:textId="77777777" w:rsidTr="006E4837">
        <w:trPr>
          <w:trHeight w:val="20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49E33D9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11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437F15B" w14:textId="7B055AB4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Stanovení diskriminačních kritérií pro vyloučení, požadavků na kvalifikaci dodavatelů, kritérií hodnocení nabídek, podmínek pro plnění veřejné zakázky nebo technických specifikací v rozporu se zákonem nebo s 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>Pokyny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v ostatních </w:t>
            </w:r>
            <w:proofErr w:type="gramStart"/>
            <w:r>
              <w:rPr>
                <w:rFonts w:ascii="Segoe UI" w:hAnsi="Segoe UI" w:cs="Segoe UI"/>
                <w:sz w:val="20"/>
                <w:szCs w:val="20"/>
              </w:rPr>
              <w:t>aspektech</w:t>
            </w:r>
            <w:proofErr w:type="gramEnd"/>
            <w:r>
              <w:rPr>
                <w:rFonts w:ascii="Segoe UI" w:hAnsi="Segoe UI" w:cs="Segoe UI"/>
                <w:sz w:val="20"/>
                <w:szCs w:val="20"/>
              </w:rPr>
              <w:t xml:space="preserve"> než je uvedeno v předchozím bodu</w:t>
            </w:r>
          </w:p>
        </w:tc>
        <w:tc>
          <w:tcPr>
            <w:tcW w:w="1548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133350F" w14:textId="07822B9A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stanovil diskriminační nebo jin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>á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protiprávní kritéria pro vyloučení, požadavky na kvalifikaci dodavatelů, kritérií hodnocení nabídek, podmínek pro plnění veřejné zakázky nebo technických specifikací nutných pro účast ve výběrovém/zadávacím řízení (např. požadavky bezprostředně nesouvisely s předmětem veřejné zakázky, nebo hodnotící kritéria nevyjadřovaly vztah užitné hodnoty a ceny)</w:t>
            </w:r>
            <w:r w:rsidR="000F79B2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48743C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stanovené podmínky zjevně neodpovídají předmětu veřejné zakázky nebo v případech, kdy toto omezení umožnilo účast pouze jednoho dodavatele a současně účast tohoto jednoho dodavatele není odůvodnitelná specifickým technickým charakterem předmětu veřejné zakázky</w:t>
            </w:r>
          </w:p>
        </w:tc>
      </w:tr>
      <w:tr w:rsidR="000671F3" w14:paraId="7A8AAB01" w14:textId="77777777" w:rsidTr="006E4837">
        <w:trPr>
          <w:trHeight w:val="148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674FBC7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0EBD23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1EC686A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56E7BA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10 %, pokud tyto požadavky souvisí s předmětem veřejné zakázky, ale nejsou mu přiměřené, nebo v případech, kdy kvalifikační kritéria byla užita jako hodnotící kritéria, nebo v případech stanovení technických podmínek prostřednictvím přímého nebo nepřímého odkazu na určité dodavatele, výrobky, patenty na vynálezy, užitné vzory, průmyslové vzory, ochranné známky nebo označení původu s výjimkou případů, kdy použití této specifikace se týká pouze doplňkové části veřejné zakázky a potenciální dopad na EK rozpočet je pouze formální </w:t>
            </w:r>
          </w:p>
        </w:tc>
      </w:tr>
      <w:tr w:rsidR="000671F3" w14:paraId="6B488338" w14:textId="77777777" w:rsidTr="006E4837">
        <w:trPr>
          <w:trHeight w:val="173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4CF3070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B8201E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58F736E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B4BF02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5 %, pokud i přes užití omezujících podmínek byla zajištěna minimální míra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hospodářské soutěže </w:t>
            </w:r>
          </w:p>
        </w:tc>
      </w:tr>
      <w:tr w:rsidR="000671F3" w14:paraId="17265C7D" w14:textId="77777777" w:rsidTr="006E4837">
        <w:trPr>
          <w:trHeight w:val="20"/>
        </w:trPr>
        <w:tc>
          <w:tcPr>
            <w:tcW w:w="356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7DEFBFF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12</w:t>
            </w:r>
          </w:p>
        </w:tc>
        <w:tc>
          <w:tcPr>
            <w:tcW w:w="1547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0763AD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Nedostatečné či nepřesné vymezení předmětu veřejné zakázky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2BBC502" w14:textId="5D929531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nevymezil předmět veřejné zakázky v podrobnostech nezbytných pro zpracování nabídky, což mohlo odradit potenciální dodavatele od podání nabídky, předběžné nabídky či žádosti o účast</w:t>
            </w:r>
            <w:r w:rsidR="00ED1E94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881D07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10 %</w:t>
            </w:r>
          </w:p>
        </w:tc>
      </w:tr>
      <w:tr w:rsidR="000671F3" w14:paraId="57483B97" w14:textId="77777777" w:rsidTr="006E4837">
        <w:trPr>
          <w:trHeight w:val="279"/>
        </w:trPr>
        <w:tc>
          <w:tcPr>
            <w:tcW w:w="356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5B6EE4B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13</w:t>
            </w:r>
          </w:p>
        </w:tc>
        <w:tc>
          <w:tcPr>
            <w:tcW w:w="1547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5E086A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Neoprávněné omezení poddodávek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19A21C9" w14:textId="4A014D14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omezil možnost využití poddodavatelů při realizaci veřejné zakázky např. procentuálně, a to bez relevantního odůvodnění tohoto omezení s ohledem na klíčové části veřejné zakázky</w:t>
            </w:r>
            <w:r w:rsidR="00ED1E94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10EFE8D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5 %</w:t>
            </w:r>
          </w:p>
        </w:tc>
      </w:tr>
      <w:tr w:rsidR="000671F3" w14:paraId="5EBEDCCC" w14:textId="77777777" w:rsidTr="006E4837">
        <w:trPr>
          <w:trHeight w:val="20"/>
        </w:trPr>
        <w:tc>
          <w:tcPr>
            <w:tcW w:w="356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922FDEE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14</w:t>
            </w:r>
          </w:p>
        </w:tc>
        <w:tc>
          <w:tcPr>
            <w:tcW w:w="1547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E74406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Fonts w:ascii="Segoe UI" w:hAnsi="Segoe UI" w:cs="Segoe UI"/>
                <w:sz w:val="20"/>
                <w:szCs w:val="20"/>
              </w:rPr>
              <w:t>Nedodržení či nesprávná aplikace kvalifikačních kritérií nebo technických či jiných zadávacích podmínek při posouzení a hodnocení nabídek či žádostí o účast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CD8221C" w14:textId="6BC32153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při posouzení a hodnocení nabídek nedodržel stanovené zadávací podmínky, zejména technické podmínky, požadavky na kvalifikaci, obchodní podmínky nebo jiné podmínky účasti ve výběrovém/zadávacím řízení nebo podmínky průběhu výběrového/zadávacího řízení a ve svém důsledku tak změnil zadávací podmínky v průběhu posouzení nabídek, což mělo za následek přijetí či odmítnutí nabídek či žádostí o účast, které přij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>aty</w:t>
            </w:r>
            <w:r>
              <w:rPr>
                <w:rFonts w:ascii="Segoe UI" w:hAnsi="Segoe UI" w:cs="Segoe UI"/>
                <w:sz w:val="20"/>
                <w:szCs w:val="20"/>
              </w:rPr>
              <w:t>/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>odmítnuty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být neměly</w:t>
            </w:r>
            <w:r w:rsidR="00AE1930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AA172D3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</w:t>
            </w:r>
          </w:p>
        </w:tc>
      </w:tr>
      <w:tr w:rsidR="000671F3" w14:paraId="0DCD5AB0" w14:textId="77777777" w:rsidTr="00814F9B">
        <w:trPr>
          <w:trHeight w:val="253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B295746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15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C05F81D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Hodnocení nabídek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v rozporu se zadávacími podmínkami </w:t>
            </w:r>
          </w:p>
          <w:p w14:paraId="6C0C48A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 hodnocení nabídek dle dodatečně stanovených kritérií, která nebyla uveřejněna</w:t>
            </w:r>
          </w:p>
        </w:tc>
        <w:tc>
          <w:tcPr>
            <w:tcW w:w="1548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E4BF986" w14:textId="3A34308B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Kritéria, která zadavatel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stanovil pro hodnocení nabídek, nebyla dodržena či bylo užito dalších hodnotících kritérií, kter</w:t>
            </w:r>
            <w:r w:rsidR="00AE1930">
              <w:rPr>
                <w:rFonts w:ascii="Segoe UI" w:hAnsi="Segoe UI" w:cs="Segoe UI"/>
                <w:sz w:val="20"/>
                <w:szCs w:val="20"/>
              </w:rPr>
              <w:t>á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nebyl</w:t>
            </w:r>
            <w:r w:rsidR="00AE1930">
              <w:rPr>
                <w:rFonts w:ascii="Segoe UI" w:hAnsi="Segoe UI" w:cs="Segoe UI"/>
                <w:sz w:val="20"/>
                <w:szCs w:val="20"/>
              </w:rPr>
              <w:t>a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uveřejněn</w:t>
            </w:r>
            <w:r w:rsidR="00AE1930">
              <w:rPr>
                <w:rFonts w:ascii="Segoe UI" w:hAnsi="Segoe UI" w:cs="Segoe UI"/>
                <w:sz w:val="20"/>
                <w:szCs w:val="20"/>
              </w:rPr>
              <w:t>a.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3B04ED7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10 %</w:t>
            </w:r>
          </w:p>
        </w:tc>
      </w:tr>
      <w:tr w:rsidR="000671F3" w14:paraId="06A2A59C" w14:textId="77777777" w:rsidTr="00A74F2B">
        <w:trPr>
          <w:trHeight w:val="820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A1CB77B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AB79D3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117DF70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BE3A0F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došlo k diskriminaci účastníků na základě národních, regionálních či lokálních preferencí</w:t>
            </w:r>
          </w:p>
        </w:tc>
      </w:tr>
      <w:tr w:rsidR="000671F3" w14:paraId="1ABD1903" w14:textId="77777777" w:rsidTr="00814F9B">
        <w:trPr>
          <w:trHeight w:val="1363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8B7F38B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16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406D2D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Nedostatečná auditní stopa související se zadáním veřejné zakázky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4D47168" w14:textId="318339BE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Doložené podklady jasně nevysvětlují, jakým způsobem byly hodnoceny nabídky a jak byla vybrána nejvýhodnější nabídka, což má za následek nedostatečnou transparentnost</w:t>
            </w:r>
            <w:r w:rsidR="00AE1930">
              <w:rPr>
                <w:rFonts w:ascii="Segoe UI" w:hAnsi="Segoe UI" w:cs="Segoe UI"/>
                <w:sz w:val="20"/>
                <w:szCs w:val="20"/>
              </w:rPr>
              <w:t>.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50F65B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</w:t>
            </w:r>
          </w:p>
        </w:tc>
      </w:tr>
      <w:tr w:rsidR="000671F3" w14:paraId="7364B482" w14:textId="77777777" w:rsidTr="006E4837">
        <w:trPr>
          <w:trHeight w:val="861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375362B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2AC04A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C3B9698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Odmítnutí zpřístupnění či poskytnutí relevantní dokumentace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50D1ED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100 %</w:t>
            </w:r>
          </w:p>
        </w:tc>
      </w:tr>
      <w:tr w:rsidR="000671F3" w14:paraId="01EACB1C" w14:textId="77777777" w:rsidTr="006E4837">
        <w:tc>
          <w:tcPr>
            <w:tcW w:w="356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96DC4FA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17</w:t>
            </w:r>
          </w:p>
        </w:tc>
        <w:tc>
          <w:tcPr>
            <w:tcW w:w="1547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32A9E70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Jednání s účastníky během řízení včetně změny vítězné nabídky v průběhu hodnocení 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50CECA8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 Zadavatel umožnil účastníkovi úpravu nabídky v průběhu hodnocení nabídek, čímž došlo k výběru tohoto účastníka, </w:t>
            </w:r>
          </w:p>
          <w:p w14:paraId="2BDFA4D4" w14:textId="6B6D2234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nebo zadavatel v rozporu se zákonem nebo 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>Pokyny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jednal v průběhu hodnocení nabídek s účastníky řízení, což vedlo k podstatné změně zadávacích podmínek, příp. samotné nabídky</w:t>
            </w:r>
            <w:r w:rsidR="00AE1930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DC3218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</w:t>
            </w:r>
          </w:p>
        </w:tc>
      </w:tr>
      <w:tr w:rsidR="000671F3" w14:paraId="6BB38889" w14:textId="77777777" w:rsidTr="006E4837">
        <w:tc>
          <w:tcPr>
            <w:tcW w:w="356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77E9D15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18</w:t>
            </w:r>
          </w:p>
        </w:tc>
        <w:tc>
          <w:tcPr>
            <w:tcW w:w="1547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F5CF30B" w14:textId="5BDF5C18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Neoprávněné předchozí zapojení dodavatelů do přípravy výběrového/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zadávacího řízení či obdobná forma spolupráce se zadavatelem 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BE4B141" w14:textId="13A2E40F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V případech, kdy takovéto zapojení dodavatele do přípravy výběrového/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sz w:val="20"/>
                <w:szCs w:val="20"/>
              </w:rPr>
              <w:t>zadávacího řízení má za následek porušení zásady nediskriminace, transparentnosti a rovného zacházení či vede k narušení hospodářské soutěže</w:t>
            </w:r>
            <w:r w:rsidR="00AE1930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F70F6A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25 % </w:t>
            </w:r>
          </w:p>
        </w:tc>
      </w:tr>
      <w:tr w:rsidR="000671F3" w14:paraId="528BDE10" w14:textId="77777777" w:rsidTr="006E4837">
        <w:tc>
          <w:tcPr>
            <w:tcW w:w="356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189D31F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19</w:t>
            </w:r>
          </w:p>
        </w:tc>
        <w:tc>
          <w:tcPr>
            <w:tcW w:w="1547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F75471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Změna počátečních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zadávacích podmínek v rámci jednacího řízení s uveřejněním vedoucí k podstatné změně zadávacích podmínek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1344C37" w14:textId="15E70F74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V průběhu jednacího řízení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s uveřejněním došlo k podstatným změnám původních zadávacích podmínek, které by měly za následek povinnost nového uveřejnění řízení</w:t>
            </w:r>
            <w:r w:rsidR="00AE1930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E5CA95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25 % </w:t>
            </w:r>
          </w:p>
          <w:p w14:paraId="23D8E31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671F3" w14:paraId="1D455FCD" w14:textId="77777777" w:rsidTr="006E4837">
        <w:trPr>
          <w:trHeight w:val="772"/>
        </w:trPr>
        <w:tc>
          <w:tcPr>
            <w:tcW w:w="356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AD2F250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20</w:t>
            </w:r>
          </w:p>
        </w:tc>
        <w:tc>
          <w:tcPr>
            <w:tcW w:w="1547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9A6D37B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Neoprávněné vyloučení nabídky z důvodu mimořádně nízké nabídkové ceny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00C0F8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Zadavatel vyloučil nabídku z důvodu mimořádně nízké nabídkové ceny, aniž by požádal účastníka výběrového/zadávacího řízení o odpovídající zdůvodnění </w:t>
            </w:r>
          </w:p>
          <w:p w14:paraId="4C702381" w14:textId="4917174E" w:rsidR="00814F9B" w:rsidRDefault="00814F9B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</w:t>
            </w:r>
            <w:r w:rsidR="000671F3">
              <w:rPr>
                <w:rFonts w:ascii="Segoe UI" w:hAnsi="Segoe UI" w:cs="Segoe UI"/>
                <w:sz w:val="20"/>
                <w:szCs w:val="20"/>
              </w:rPr>
              <w:t>ebo</w:t>
            </w:r>
          </w:p>
          <w:p w14:paraId="29BC2222" w14:textId="1EE7F31B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v případě, kdy zadavatel dodavatele ke zdůvodnění mimořádně nízké nabídkové ceny vyzval, nicméně není schopen prokázat, že odpovědi účastníků posoudil odpovídajícím způsobem</w:t>
            </w:r>
            <w:r w:rsidR="00AE1930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1762A6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</w:t>
            </w:r>
          </w:p>
        </w:tc>
      </w:tr>
      <w:tr w:rsidR="000671F3" w14:paraId="227C6068" w14:textId="77777777" w:rsidTr="006E4837">
        <w:trPr>
          <w:trHeight w:val="20"/>
        </w:trPr>
        <w:tc>
          <w:tcPr>
            <w:tcW w:w="356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978FFA9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21</w:t>
            </w:r>
          </w:p>
        </w:tc>
        <w:tc>
          <w:tcPr>
            <w:tcW w:w="1547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1F4B51D" w14:textId="252AC2EA" w:rsidR="000671F3" w:rsidRDefault="000671F3" w:rsidP="004C4F20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Střet zájmů s dopadem na výsledek 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>výběrového</w:t>
            </w:r>
            <w:r>
              <w:rPr>
                <w:rFonts w:ascii="Segoe UI" w:hAnsi="Segoe UI" w:cs="Segoe UI"/>
                <w:sz w:val="20"/>
                <w:szCs w:val="20"/>
              </w:rPr>
              <w:t>/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>zadávacího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řízení</w:t>
            </w:r>
          </w:p>
          <w:p w14:paraId="23D4CE4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5FA9B91" w14:textId="622812E8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V případě, kdy při zadání veřejné zakázky dojde ke střetu zájmů, přičemž dotčený účastník zvítězí v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 xml:space="preserve">e </w:t>
            </w:r>
            <w:r>
              <w:rPr>
                <w:rFonts w:ascii="Segoe UI" w:hAnsi="Segoe UI" w:cs="Segoe UI"/>
                <w:sz w:val="20"/>
                <w:szCs w:val="20"/>
              </w:rPr>
              <w:t>výběrovém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>/zadávacím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řízení</w:t>
            </w:r>
            <w:r w:rsidR="00B251B2">
              <w:rPr>
                <w:rFonts w:ascii="Segoe UI" w:hAnsi="Segoe UI" w:cs="Segoe UI"/>
                <w:sz w:val="20"/>
                <w:szCs w:val="20"/>
              </w:rPr>
              <w:t>.</w:t>
            </w:r>
            <w:r>
              <w:rPr>
                <w:rFonts w:ascii="Segoe UI" w:hAnsi="Segoe UI" w:cs="Segoe UI"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A2EDA5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100 %</w:t>
            </w:r>
          </w:p>
        </w:tc>
      </w:tr>
      <w:tr w:rsidR="000671F3" w14:paraId="5EF2ED4A" w14:textId="77777777" w:rsidTr="006E4837">
        <w:trPr>
          <w:trHeight w:val="651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88B2CDB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  <w:lang w:val="en-US" w:eastAsia="en-US"/>
              </w:rPr>
              <w:t>22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E44947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Bid-rigging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(zakázaná spolupráce dodavatelů ve výběrovém/zadávacím řízení)</w:t>
            </w:r>
          </w:p>
        </w:tc>
        <w:tc>
          <w:tcPr>
            <w:tcW w:w="1548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7FF8673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V případě, že soud, Úřad pro ochranu hospodářské soutěže či jiný kompetentní úřad shledá, že při zadávání výběrového/zadávacího řízení došlo ke kartelové dohodě či jiné formě zakázané spolupráce mezi dodavateli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0D5A39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10 %, pokud účastníci, kteří se na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bid-riggingu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podíleli, postupovali bez pomoci osoby v rámci řídícího či kontrolního systému nebo zadavatele a jeden z nich se stal vybraným dodavatelem</w:t>
            </w:r>
          </w:p>
        </w:tc>
      </w:tr>
      <w:tr w:rsidR="000671F3" w14:paraId="6D1D00B8" w14:textId="77777777" w:rsidTr="006E4837">
        <w:trPr>
          <w:trHeight w:val="651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8862A9E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E1DB71B" w14:textId="77777777" w:rsidR="000671F3" w:rsidRDefault="000671F3" w:rsidP="00195E12">
            <w:pPr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5065A2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FBC7D3B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25 %, pokud se na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bid-riggingu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nepodíleli jiní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dodavatelé než ti, kteří se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bid-riggingu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účastnili</w:t>
            </w:r>
          </w:p>
        </w:tc>
      </w:tr>
      <w:tr w:rsidR="000671F3" w14:paraId="7541E0EA" w14:textId="77777777" w:rsidTr="006E4837">
        <w:trPr>
          <w:trHeight w:val="651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CB18D35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282CF32" w14:textId="77777777" w:rsidR="000671F3" w:rsidRDefault="000671F3" w:rsidP="00195E12">
            <w:pPr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F5379B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07074EA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100 %, pokud se na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bid-riggingu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podílela osoba v rámci řídícího či kontrolního systému nebo zadavatel ve spolupráci s dodavateli podílejícími se na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bid-riggingu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a současně jeden z nich se stal vybraným dodavatelem</w:t>
            </w:r>
          </w:p>
        </w:tc>
      </w:tr>
      <w:tr w:rsidR="000671F3" w14:paraId="4E5C7A8E" w14:textId="77777777" w:rsidTr="006E4837">
        <w:trPr>
          <w:trHeight w:val="1346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B5E5BC7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  <w:lang w:val="en-US" w:eastAsia="en-US"/>
              </w:rPr>
              <w:t>23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DF3E6E3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Podstatná změna smlouvy</w:t>
            </w:r>
          </w:p>
        </w:tc>
        <w:tc>
          <w:tcPr>
            <w:tcW w:w="1548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0ED8D93" w14:textId="7F3719B0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umožnil podstatnou změnu závazku ze smlouvy na plnění veřejné zakázky nebo práv a povinností vyplývajících ze smlouvy na plnění veřejné zakázky v rozporu se zákonem nebo s</w:t>
            </w:r>
            <w:r w:rsidR="00B251B2">
              <w:rPr>
                <w:rFonts w:ascii="Segoe UI" w:hAnsi="Segoe UI" w:cs="Segoe UI"/>
                <w:sz w:val="20"/>
                <w:szCs w:val="20"/>
              </w:rPr>
              <w:t> 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>Pokyny</w:t>
            </w:r>
            <w:r w:rsidR="00B251B2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F88B371" w14:textId="1F1AB635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 z ceny původní veřejné zakázky</w:t>
            </w:r>
          </w:p>
          <w:p w14:paraId="2BC4B428" w14:textId="5ECCDD7A" w:rsidR="000671F3" w:rsidRDefault="000671F3" w:rsidP="00814F9B">
            <w:pPr>
              <w:spacing w:before="120" w:after="120"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a dále</w:t>
            </w:r>
          </w:p>
          <w:p w14:paraId="1E8423C2" w14:textId="2F95C105" w:rsidR="000671F3" w:rsidRPr="00814F9B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 z hodnoty dodatečných stavebních prací, dodávek nebo služeb (tzv. vícepráce)</w:t>
            </w:r>
          </w:p>
        </w:tc>
      </w:tr>
      <w:tr w:rsidR="000671F3" w14:paraId="501908D3" w14:textId="77777777" w:rsidTr="00A74F2B">
        <w:trPr>
          <w:trHeight w:val="334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CD67273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9F18FF3" w14:textId="77777777" w:rsidR="000671F3" w:rsidRDefault="000671F3" w:rsidP="00195E12">
            <w:pPr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32C45E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9CE75E4" w14:textId="7459836F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25 % z ceny původní veřejné zakázky </w:t>
            </w:r>
          </w:p>
          <w:p w14:paraId="7E25DB9F" w14:textId="29142BAB" w:rsidR="000671F3" w:rsidRDefault="000671F3" w:rsidP="00814F9B">
            <w:pPr>
              <w:spacing w:before="120" w:after="120"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a dále</w:t>
            </w:r>
          </w:p>
          <w:p w14:paraId="0D675448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100 % částky, o kterou byla případně zvýšena cena veřejné zakázky v případě, že takové zvýšení převyšuje 50 % hodnoty původní veřejné zakázky</w:t>
            </w:r>
            <w:r>
              <w:rPr>
                <w:rFonts w:ascii="Segoe UI" w:hAnsi="Segoe UI" w:cs="Segoe UI"/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0671F3" w14:paraId="3473D0C3" w14:textId="77777777" w:rsidTr="00814F9B">
        <w:trPr>
          <w:trHeight w:val="338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B74691B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  <w:lang w:val="en-US" w:eastAsia="en-US"/>
              </w:rPr>
              <w:t>24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BF1249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Jiné porušení</w:t>
            </w:r>
          </w:p>
        </w:tc>
        <w:tc>
          <w:tcPr>
            <w:tcW w:w="1548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D14E74F" w14:textId="366286ED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Zadavatel se dopustil jiného než výše uvedeného porušení, které mělo nebo mohlo mít vliv na výběr dodavatele, nebo které znemožnilo ověření souladu jeho postupu </w:t>
            </w:r>
            <w:r w:rsidR="002A2B3A">
              <w:rPr>
                <w:rFonts w:ascii="Segoe UI" w:hAnsi="Segoe UI" w:cs="Segoe UI"/>
                <w:sz w:val="20"/>
                <w:szCs w:val="20"/>
              </w:rPr>
              <w:t>se zákonem nebo s Pokyny,</w:t>
            </w:r>
            <w:r w:rsidR="004C4F2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včetně nedodržení základních zásad </w:t>
            </w:r>
            <w:r w:rsidR="00B251B2">
              <w:rPr>
                <w:rFonts w:ascii="Segoe UI" w:hAnsi="Segoe UI" w:cs="Segoe UI"/>
                <w:sz w:val="20"/>
                <w:szCs w:val="20"/>
              </w:rPr>
              <w:t>výběrového</w:t>
            </w:r>
            <w:r w:rsidR="007045A3">
              <w:rPr>
                <w:rFonts w:ascii="Segoe UI" w:hAnsi="Segoe UI" w:cs="Segoe UI"/>
                <w:sz w:val="20"/>
                <w:szCs w:val="20"/>
              </w:rPr>
              <w:t>/</w:t>
            </w:r>
            <w:r>
              <w:rPr>
                <w:rFonts w:ascii="Segoe UI" w:hAnsi="Segoe UI" w:cs="Segoe UI"/>
                <w:sz w:val="20"/>
                <w:szCs w:val="20"/>
              </w:rPr>
              <w:t>zadávacího řízení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5FA7553" w14:textId="77777777" w:rsidR="000671F3" w:rsidRDefault="000671F3" w:rsidP="00195E12">
            <w:pPr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  <w:lang w:val="en-US" w:eastAsia="en-US"/>
              </w:rPr>
              <w:t>25 %</w:t>
            </w:r>
          </w:p>
        </w:tc>
      </w:tr>
      <w:tr w:rsidR="000671F3" w14:paraId="330789F3" w14:textId="77777777" w:rsidTr="006E4837">
        <w:trPr>
          <w:trHeight w:val="1465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A1C99FC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64C4DE3" w14:textId="77777777" w:rsidR="000671F3" w:rsidRDefault="000671F3" w:rsidP="00195E12">
            <w:pPr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854C22E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6AA017B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2 % nebo 5 % nebo 10 % dle závažnosti porušení</w:t>
            </w:r>
          </w:p>
        </w:tc>
      </w:tr>
    </w:tbl>
    <w:p w14:paraId="6100C6BC" w14:textId="77777777" w:rsidR="000671F3" w:rsidRDefault="000671F3" w:rsidP="000671F3"/>
    <w:sectPr w:rsidR="000671F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BE4B8" w14:textId="77777777" w:rsidR="006412A1" w:rsidRDefault="006412A1" w:rsidP="000671F3">
      <w:pPr>
        <w:spacing w:line="240" w:lineRule="auto"/>
      </w:pPr>
      <w:r>
        <w:separator/>
      </w:r>
    </w:p>
  </w:endnote>
  <w:endnote w:type="continuationSeparator" w:id="0">
    <w:p w14:paraId="0088A245" w14:textId="77777777" w:rsidR="006412A1" w:rsidRDefault="006412A1" w:rsidP="000671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JohnSans Text Pro">
    <w:altName w:val="Calibri"/>
    <w:panose1 w:val="00000000000000000000"/>
    <w:charset w:val="00"/>
    <w:family w:val="modern"/>
    <w:notTrueType/>
    <w:pitch w:val="variable"/>
    <w:sig w:usb0="A00000AF" w:usb1="5000206A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E2D2F" w14:textId="42CA18F7" w:rsidR="000D3896" w:rsidRDefault="00AB3FF7" w:rsidP="00CE0E58">
    <w:pPr>
      <w:pStyle w:val="Zpat"/>
      <w:tabs>
        <w:tab w:val="clear" w:pos="4536"/>
      </w:tabs>
      <w:jc w:val="left"/>
    </w:pPr>
    <w:r w:rsidRPr="00B142F6">
      <w:rPr>
        <w:rStyle w:val="slostrnky"/>
        <w:rFonts w:ascii="Segoe UI" w:eastAsiaTheme="majorEastAsia" w:hAnsi="Segoe UI" w:cs="Segoe UI"/>
        <w:sz w:val="20"/>
        <w:szCs w:val="20"/>
      </w:rPr>
      <w:t xml:space="preserve">Výzva NPŽP č. </w:t>
    </w:r>
    <w:r w:rsidR="004C38C9">
      <w:rPr>
        <w:rStyle w:val="slostrnky"/>
        <w:rFonts w:ascii="Segoe UI" w:eastAsiaTheme="majorEastAsia" w:hAnsi="Segoe UI" w:cs="Segoe UI"/>
        <w:sz w:val="20"/>
        <w:szCs w:val="20"/>
      </w:rPr>
      <w:t>6</w:t>
    </w:r>
    <w:r w:rsidRPr="00B142F6">
      <w:rPr>
        <w:rStyle w:val="slostrnky"/>
        <w:rFonts w:ascii="Segoe UI" w:eastAsiaTheme="majorEastAsia" w:hAnsi="Segoe UI" w:cs="Segoe UI"/>
        <w:sz w:val="20"/>
        <w:szCs w:val="20"/>
      </w:rPr>
      <w:t xml:space="preserve">/2025 – Příloha č. 5                                                                                                  </w:t>
    </w:r>
    <w:r w:rsidRPr="00B142F6">
      <w:rPr>
        <w:rStyle w:val="slostrnky"/>
        <w:rFonts w:ascii="Segoe UI" w:eastAsiaTheme="majorEastAsia" w:hAnsi="Segoe UI" w:cs="Segoe UI"/>
        <w:sz w:val="20"/>
        <w:szCs w:val="20"/>
      </w:rPr>
      <w:fldChar w:fldCharType="begin"/>
    </w:r>
    <w:r w:rsidRPr="00B142F6">
      <w:rPr>
        <w:rStyle w:val="slostrnky"/>
        <w:rFonts w:ascii="Segoe UI" w:eastAsiaTheme="majorEastAsia" w:hAnsi="Segoe UI" w:cs="Segoe UI"/>
        <w:sz w:val="20"/>
        <w:szCs w:val="20"/>
      </w:rPr>
      <w:instrText>PAGE   \* MERGEFORMAT</w:instrText>
    </w:r>
    <w:r w:rsidRPr="00B142F6">
      <w:rPr>
        <w:rStyle w:val="slostrnky"/>
        <w:rFonts w:ascii="Segoe UI" w:eastAsiaTheme="majorEastAsia" w:hAnsi="Segoe UI" w:cs="Segoe UI"/>
        <w:sz w:val="20"/>
        <w:szCs w:val="20"/>
      </w:rPr>
      <w:fldChar w:fldCharType="separate"/>
    </w:r>
    <w:r w:rsidRPr="00B142F6">
      <w:rPr>
        <w:rStyle w:val="slostrnky"/>
        <w:rFonts w:ascii="Segoe UI" w:eastAsiaTheme="majorEastAsia" w:hAnsi="Segoe UI" w:cs="Segoe UI"/>
        <w:sz w:val="20"/>
        <w:szCs w:val="20"/>
      </w:rPr>
      <w:t>1</w:t>
    </w:r>
    <w:r w:rsidRPr="00B142F6">
      <w:rPr>
        <w:rStyle w:val="slostrnky"/>
        <w:rFonts w:ascii="Segoe UI" w:eastAsiaTheme="majorEastAsia" w:hAnsi="Segoe UI" w:cs="Segoe UI"/>
        <w:sz w:val="20"/>
        <w:szCs w:val="20"/>
      </w:rPr>
      <w:fldChar w:fldCharType="end"/>
    </w:r>
    <w:r w:rsidR="00F57315" w:rsidRPr="00B142F6">
      <w:rPr>
        <w:rStyle w:val="slostrnky"/>
        <w:rFonts w:ascii="Segoe UI" w:eastAsiaTheme="majorEastAsia" w:hAnsi="Segoe UI" w:cs="Segoe UI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6683C" w14:textId="77777777" w:rsidR="006412A1" w:rsidRDefault="006412A1" w:rsidP="000671F3">
      <w:pPr>
        <w:spacing w:line="240" w:lineRule="auto"/>
      </w:pPr>
      <w:r>
        <w:separator/>
      </w:r>
    </w:p>
  </w:footnote>
  <w:footnote w:type="continuationSeparator" w:id="0">
    <w:p w14:paraId="2921EF79" w14:textId="77777777" w:rsidR="006412A1" w:rsidRDefault="006412A1" w:rsidP="000671F3">
      <w:pPr>
        <w:spacing w:line="240" w:lineRule="auto"/>
      </w:pPr>
      <w:r>
        <w:continuationSeparator/>
      </w:r>
    </w:p>
  </w:footnote>
  <w:footnote w:id="1">
    <w:p w14:paraId="23CB3953" w14:textId="28D6297D" w:rsidR="000671F3" w:rsidRDefault="000671F3" w:rsidP="000671F3">
      <w:pPr>
        <w:pStyle w:val="Textpoznpodarou"/>
      </w:pPr>
      <w:r>
        <w:rPr>
          <w:rStyle w:val="Znakapoznpodarou"/>
          <w:rFonts w:ascii="Segoe UI" w:hAnsi="Segoe UI" w:cs="Segoe UI"/>
          <w:sz w:val="20"/>
          <w:szCs w:val="20"/>
        </w:rPr>
        <w:footnoteRef/>
      </w:r>
      <w:r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16"/>
          <w:szCs w:val="16"/>
        </w:rPr>
        <w:t>Kromě případů, kdy nesrovnalost spadá pod jiný typ porušení.</w:t>
      </w:r>
    </w:p>
  </w:footnote>
  <w:footnote w:id="2">
    <w:p w14:paraId="4662DC99" w14:textId="77777777" w:rsidR="000671F3" w:rsidRDefault="000671F3" w:rsidP="000671F3">
      <w:pPr>
        <w:pStyle w:val="Textpoznpodarou"/>
      </w:pPr>
      <w:r>
        <w:rPr>
          <w:rStyle w:val="Znakapoznpodarou"/>
          <w:rFonts w:ascii="Segoe UI" w:hAnsi="Segoe UI" w:cs="Segoe UI"/>
          <w:sz w:val="20"/>
          <w:szCs w:val="20"/>
        </w:rPr>
        <w:footnoteRef/>
      </w:r>
      <w:r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16"/>
          <w:szCs w:val="16"/>
        </w:rPr>
        <w:t>Střet zájmů může nastat již ve fázi přípravy projektu, pokud měla příprava projektu vliv na zadávací dokumentaci/zadávací řízení.</w:t>
      </w:r>
    </w:p>
    <w:p w14:paraId="59B5C34E" w14:textId="77777777" w:rsidR="000671F3" w:rsidRDefault="000671F3" w:rsidP="000671F3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71F2D" w14:textId="19DA1777" w:rsidR="000D3896" w:rsidRDefault="000D3896">
    <w:pPr>
      <w:pStyle w:val="Zhlav"/>
    </w:pPr>
    <w:r w:rsidRPr="00167BBF">
      <w:rPr>
        <w:rFonts w:eastAsia="Calibri"/>
        <w:noProof/>
      </w:rPr>
      <w:drawing>
        <wp:inline distT="0" distB="0" distL="0" distR="0" wp14:anchorId="63FA1BFD" wp14:editId="3FA1B40B">
          <wp:extent cx="5760720" cy="642620"/>
          <wp:effectExtent l="0" t="0" r="0" b="5080"/>
          <wp:docPr id="3" name="Obrázek 3" descr="T:\SRNP\ORiNP\OdMetS\NPŽP\logo\Spojená loga MZP a SFZP, použív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0844844" name="Picture 2" descr="T:\SRNP\ORiNP\OdMetS\NPŽP\logo\Spojená loga MZP a SFZP, používa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42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DE2FCA" w14:textId="77777777" w:rsidR="000D3896" w:rsidRDefault="000D389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0608D"/>
    <w:multiLevelType w:val="hybridMultilevel"/>
    <w:tmpl w:val="5F221E1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CAE37C5"/>
    <w:multiLevelType w:val="hybridMultilevel"/>
    <w:tmpl w:val="5BD42694"/>
    <w:lvl w:ilvl="0" w:tplc="6E204118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9110A53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F6A7AF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D0895D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AC6519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60851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8C2BD7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740949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6EED1B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66142877">
    <w:abstractNumId w:val="1"/>
  </w:num>
  <w:num w:numId="2" w16cid:durableId="1239906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stylePaneFormatFilter w:val="B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1F3"/>
    <w:rsid w:val="000671F3"/>
    <w:rsid w:val="000D3896"/>
    <w:rsid w:val="000F79B2"/>
    <w:rsid w:val="002844C8"/>
    <w:rsid w:val="002A2B3A"/>
    <w:rsid w:val="002F5B80"/>
    <w:rsid w:val="004006E1"/>
    <w:rsid w:val="004900E7"/>
    <w:rsid w:val="00495E6E"/>
    <w:rsid w:val="004C38C9"/>
    <w:rsid w:val="004C4F20"/>
    <w:rsid w:val="004E4C4C"/>
    <w:rsid w:val="00521D8D"/>
    <w:rsid w:val="005F15DB"/>
    <w:rsid w:val="00610441"/>
    <w:rsid w:val="006412A1"/>
    <w:rsid w:val="006E24EC"/>
    <w:rsid w:val="006E4837"/>
    <w:rsid w:val="007045A3"/>
    <w:rsid w:val="00767070"/>
    <w:rsid w:val="007E2CA0"/>
    <w:rsid w:val="00804493"/>
    <w:rsid w:val="00814F9B"/>
    <w:rsid w:val="009D3FBB"/>
    <w:rsid w:val="00A554FE"/>
    <w:rsid w:val="00A60565"/>
    <w:rsid w:val="00A74F2B"/>
    <w:rsid w:val="00A83F0F"/>
    <w:rsid w:val="00A962A6"/>
    <w:rsid w:val="00AB3FF7"/>
    <w:rsid w:val="00AE1930"/>
    <w:rsid w:val="00B142F6"/>
    <w:rsid w:val="00B251B2"/>
    <w:rsid w:val="00B505E2"/>
    <w:rsid w:val="00BB19EE"/>
    <w:rsid w:val="00BE2908"/>
    <w:rsid w:val="00C124FE"/>
    <w:rsid w:val="00CD503A"/>
    <w:rsid w:val="00CE0E58"/>
    <w:rsid w:val="00ED1E94"/>
    <w:rsid w:val="00F07DA3"/>
    <w:rsid w:val="00F57315"/>
    <w:rsid w:val="00F90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7C2FDB"/>
  <w15:chartTrackingRefBased/>
  <w15:docId w15:val="{15A73EF8-EDBA-4125-9954-3843F30FE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JohnSans Text Pro" w:eastAsiaTheme="minorHAnsi" w:hAnsi="JohnSans Text Pro" w:cs="Times New Roman"/>
        <w:kern w:val="2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671F3"/>
    <w:pPr>
      <w:widowControl w:val="0"/>
      <w:spacing w:line="311" w:lineRule="auto"/>
      <w:jc w:val="both"/>
    </w:pPr>
    <w:rPr>
      <w:rFonts w:ascii="Arial" w:eastAsia="Times New Roman" w:hAnsi="Arial" w:cs="Arial"/>
      <w:kern w:val="0"/>
      <w:sz w:val="22"/>
      <w:szCs w:val="22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9"/>
    <w:qFormat/>
    <w:rsid w:val="000671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671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71F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671F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671F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671F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671F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671F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671F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0671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671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71F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671F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671F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671F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671F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671F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671F3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99"/>
    <w:qFormat/>
    <w:rsid w:val="000671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99"/>
    <w:rsid w:val="00067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671F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671F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671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671F3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99"/>
    <w:qFormat/>
    <w:rsid w:val="000671F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671F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671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671F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671F3"/>
    <w:rPr>
      <w:b/>
      <w:bCs/>
      <w:smallCaps/>
      <w:color w:val="0F4761" w:themeColor="accent1" w:themeShade="BF"/>
      <w:spacing w:val="5"/>
    </w:rPr>
  </w:style>
  <w:style w:type="character" w:customStyle="1" w:styleId="OdstavecseseznamemChar">
    <w:name w:val="Odstavec se seznamem Char"/>
    <w:link w:val="Odstavecseseznamem"/>
    <w:uiPriority w:val="99"/>
    <w:rsid w:val="000671F3"/>
  </w:style>
  <w:style w:type="paragraph" w:styleId="Textpoznpodarou">
    <w:name w:val="footnote text"/>
    <w:basedOn w:val="Normln"/>
    <w:link w:val="TextpoznpodarouChar"/>
    <w:uiPriority w:val="99"/>
    <w:rsid w:val="000671F3"/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0671F3"/>
    <w:rPr>
      <w:rFonts w:ascii="Arial" w:eastAsia="Times New Roman" w:hAnsi="Arial" w:cs="Arial"/>
      <w:kern w:val="0"/>
      <w:sz w:val="22"/>
      <w:szCs w:val="22"/>
      <w:lang w:eastAsia="cs-CZ"/>
      <w14:ligatures w14:val="none"/>
    </w:rPr>
  </w:style>
  <w:style w:type="character" w:styleId="Znakapoznpodarou">
    <w:name w:val="footnote reference"/>
    <w:uiPriority w:val="99"/>
    <w:rsid w:val="000671F3"/>
    <w:rPr>
      <w:rFonts w:ascii="Times New Roman" w:hAnsi="Times New Roman" w:cs="Times New Roman"/>
      <w:sz w:val="22"/>
      <w:szCs w:val="22"/>
      <w:vertAlign w:val="superscript"/>
    </w:rPr>
  </w:style>
  <w:style w:type="paragraph" w:styleId="Revize">
    <w:name w:val="Revision"/>
    <w:hidden/>
    <w:uiPriority w:val="99"/>
    <w:semiHidden/>
    <w:rsid w:val="002844C8"/>
    <w:rPr>
      <w:rFonts w:ascii="Arial" w:eastAsia="Times New Roman" w:hAnsi="Arial" w:cs="Arial"/>
      <w:kern w:val="0"/>
      <w:sz w:val="22"/>
      <w:szCs w:val="22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B505E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05E2"/>
    <w:rPr>
      <w:rFonts w:ascii="Arial" w:eastAsia="Times New Roman" w:hAnsi="Arial" w:cs="Arial"/>
      <w:kern w:val="0"/>
      <w:sz w:val="22"/>
      <w:szCs w:val="22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B505E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05E2"/>
    <w:rPr>
      <w:rFonts w:ascii="Arial" w:eastAsia="Times New Roman" w:hAnsi="Arial" w:cs="Arial"/>
      <w:kern w:val="0"/>
      <w:sz w:val="22"/>
      <w:szCs w:val="22"/>
      <w:lang w:eastAsia="cs-CZ"/>
      <w14:ligatures w14:val="none"/>
    </w:rPr>
  </w:style>
  <w:style w:type="character" w:styleId="slostrnky">
    <w:name w:val="page number"/>
    <w:basedOn w:val="Standardnpsmoodstavce"/>
    <w:rsid w:val="000D3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3B7B1-AB0A-4E94-B22A-3B76C5C68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2334</Words>
  <Characters>13777</Characters>
  <Application>Microsoft Office Word</Application>
  <DocSecurity>0</DocSecurity>
  <Lines>114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Pertlickova Katerina</dc:creator>
  <cp:keywords/>
  <dc:description/>
  <cp:lastModifiedBy>320</cp:lastModifiedBy>
  <cp:revision>9</cp:revision>
  <dcterms:created xsi:type="dcterms:W3CDTF">2025-01-07T08:49:00Z</dcterms:created>
  <dcterms:modified xsi:type="dcterms:W3CDTF">2025-03-05T09:30:00Z</dcterms:modified>
</cp:coreProperties>
</file>